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pPr>
                    <w:pStyle w:val="51"/>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B </w:t>
            </w:r>
            <w:r>
              <w:rPr>
                <w:rFonts w:hint="eastAsia" w:ascii="黑体" w:hAnsi="黑体" w:eastAsia="黑体"/>
                <w:sz w:val="21"/>
                <w:szCs w:val="21"/>
              </w:rPr>
              <w:t>66</w:t>
            </w:r>
            <w:r>
              <w:rPr>
                <w:rFonts w:ascii="黑体" w:hAnsi="黑体" w:eastAsia="黑体"/>
                <w:sz w:val="21"/>
                <w:szCs w:val="21"/>
              </w:rPr>
              <w:fldChar w:fldCharType="end"/>
            </w:r>
            <w:bookmarkEnd w:id="2"/>
          </w:p>
        </w:tc>
      </w:tr>
    </w:tbl>
    <w:p>
      <w:pPr>
        <w:pStyle w:val="52"/>
        <w:framePr w:w="9639" w:h="624" w:hRule="exact" w:hSpace="181" w:vSpace="181" w:wrap="around" w:hAnchor="page" w:x="1305" w:y="2269"/>
        <w:rPr>
          <w:rFonts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广</w:t>
      </w:r>
      <w:r>
        <w:rPr>
          <w:rFonts w:hint="eastAsia" w:ascii="黑体" w:eastAsia="黑体"/>
          <w:b w:val="0"/>
          <w:w w:val="100"/>
          <w:sz w:val="48"/>
        </w:rPr>
        <w:t>西壮族自治区</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pPr>
        <w:pStyle w:val="197"/>
        <w:framePr/>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2021</w:t>
      </w:r>
      <w:r>
        <w:fldChar w:fldCharType="end"/>
      </w:r>
      <w:bookmarkEnd w:id="7"/>
    </w:p>
    <w:p>
      <w:pPr>
        <w:pStyle w:val="198"/>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2"/>
        <w:framePr w:w="9639" w:h="6976" w:hRule="exact" w:hSpace="0" w:vSpace="0" w:wrap="around" w:hAnchor="page" w:y="6408"/>
        <w:jc w:val="center"/>
        <w:rPr>
          <w:rFonts w:ascii="黑体" w:hAnsi="黑体" w:eastAsia="黑体"/>
          <w:b w:val="0"/>
          <w:bCs w:val="0"/>
          <w:w w:val="100"/>
        </w:rPr>
      </w:pPr>
    </w:p>
    <w:p>
      <w:pPr>
        <w:pStyle w:val="199"/>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桉树优质苗木工厂化</w:t>
      </w:r>
      <w:bookmarkStart w:id="42" w:name="_GoBack"/>
      <w:bookmarkEnd w:id="42"/>
      <w:r>
        <w:t>生产管理技术规程</w:t>
      </w:r>
      <w:r>
        <w:fldChar w:fldCharType="end"/>
      </w:r>
      <w:bookmarkEnd w:id="9"/>
    </w:p>
    <w:p>
      <w:pPr>
        <w:framePr w:w="9639" w:h="6974" w:hRule="exact" w:wrap="around" w:vAnchor="page" w:hAnchor="page" w:x="1419" w:y="6408" w:anchorLock="1"/>
        <w:ind w:left="-1418"/>
      </w:pPr>
    </w:p>
    <w:p>
      <w:pPr>
        <w:pStyle w:val="127"/>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T</w:t>
      </w:r>
      <w:r>
        <w:rPr>
          <w:rFonts w:hint="eastAsia" w:eastAsia="黑体"/>
          <w:szCs w:val="28"/>
        </w:rPr>
        <w:t>ech</w:t>
      </w:r>
      <w:r>
        <w:rPr>
          <w:rFonts w:eastAsia="黑体"/>
          <w:szCs w:val="28"/>
        </w:rPr>
        <w:t>nical regulation for industrialized production and management of Eucalypt excellent quality seedling</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7"/>
        <w:framePr w:w="9639" w:h="6974" w:hRule="exact" w:wrap="around" w:vAnchor="page" w:hAnchor="page" w:x="1419" w:y="6408" w:anchorLock="1"/>
        <w:textAlignment w:val="bottom"/>
        <w:rPr>
          <w:rFonts w:eastAsia="黑体"/>
          <w:szCs w:val="28"/>
        </w:rPr>
      </w:pPr>
    </w:p>
    <w:p>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w:t>
      </w:r>
      <w:r>
        <w:rPr>
          <w:sz w:val="21"/>
          <w:szCs w:val="28"/>
        </w:rPr>
        <w:t>021-04-15</w:t>
      </w:r>
      <w:r>
        <w:rPr>
          <w:rFonts w:hint="eastAsia"/>
          <w:sz w:val="21"/>
          <w:szCs w:val="28"/>
        </w:rPr>
        <w:t>）</w:t>
      </w:r>
      <w:r>
        <w:rPr>
          <w:sz w:val="21"/>
          <w:szCs w:val="28"/>
        </w:rPr>
        <w:fldChar w:fldCharType="end"/>
      </w:r>
      <w:bookmarkEnd w:id="12"/>
    </w:p>
    <w:p>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5"/>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2021</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6"/>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2021</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3"/>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广</w:t>
      </w:r>
      <w:r>
        <w:rPr>
          <w:rFonts w:hint="eastAsia" w:hAnsi="黑体"/>
          <w:w w:val="100"/>
          <w:sz w:val="28"/>
        </w:rPr>
        <w:t>西标准化协会</w:t>
      </w:r>
      <w:r>
        <w:rPr>
          <w:rFonts w:hAnsi="黑体"/>
          <w:w w:val="100"/>
          <w:sz w:val="28"/>
        </w:rPr>
        <w:fldChar w:fldCharType="end"/>
      </w:r>
      <w:bookmarkEnd w:id="20"/>
      <w:r>
        <w:rPr>
          <w:rFonts w:ascii="Times New Roman"/>
          <w:w w:val="100"/>
          <w:sz w:val="28"/>
        </w:rPr>
        <w:t>  </w:t>
      </w:r>
      <w:r>
        <w:rPr>
          <w:rStyle w:val="231"/>
          <w:rFonts w:hint="eastAsia" w:hAnsi="黑体"/>
          <w:position w:val="0"/>
        </w:rPr>
        <w:t>发</w:t>
      </w:r>
      <w:r>
        <w:rPr>
          <w:rStyle w:val="231"/>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360"/>
      </w:pPr>
      <w:bookmarkStart w:id="21" w:name="BookMark2"/>
      <w:r>
        <w:rPr>
          <w:spacing w:val="320"/>
        </w:rPr>
        <w:t>前</w:t>
      </w:r>
      <w:r>
        <w:t>言</w:t>
      </w:r>
    </w:p>
    <w:p>
      <w:pPr>
        <w:pStyle w:val="58"/>
        <w:ind w:firstLine="420"/>
      </w:pPr>
      <w:r>
        <w:rPr>
          <w:rFonts w:hint="eastAsia"/>
        </w:rPr>
        <w:t>本文件按照GB/T 1.1—2020《标准化工作导则  第1部分：标准化文件的结构和起草规则》的规定起草。</w:t>
      </w:r>
    </w:p>
    <w:p>
      <w:pPr>
        <w:pStyle w:val="58"/>
        <w:ind w:firstLine="420"/>
      </w:pPr>
      <w:r>
        <w:rPr>
          <w:rFonts w:hint="eastAsia"/>
        </w:rPr>
        <w:t>本文件由广西壮族自治区林业科学研究院提出。</w:t>
      </w:r>
    </w:p>
    <w:p>
      <w:pPr>
        <w:pStyle w:val="58"/>
        <w:ind w:firstLine="420"/>
      </w:pPr>
      <w:r>
        <w:rPr>
          <w:rFonts w:hint="eastAsia"/>
        </w:rPr>
        <w:t>本文件起草单位：</w:t>
      </w:r>
      <w:r>
        <w:rPr>
          <w:rFonts w:ascii="Times New Roman" w:hAnsi="宋体"/>
          <w:szCs w:val="21"/>
        </w:rPr>
        <w:t>广西壮族自治区林业科学研究院</w:t>
      </w:r>
      <w:r>
        <w:rPr>
          <w:rFonts w:hint="eastAsia" w:ascii="Times New Roman"/>
          <w:szCs w:val="21"/>
        </w:rPr>
        <w:t>、</w:t>
      </w:r>
      <w:r>
        <w:rPr>
          <w:rFonts w:hint="eastAsia" w:hAnsi="宋体"/>
          <w:szCs w:val="21"/>
        </w:rPr>
        <w:t>广西林木种苗行业协会、广西壮族自治区国有东门林场、广西八桂林木花卉种苗股份有限公司、钦州市林业科学研究所、广西斯道拉恩索林业有限公司、广西壮族自治区国有高峰林场、广西壮族自治区国有七坡林场、广西壮族自治区国有黄冕林场。</w:t>
      </w:r>
    </w:p>
    <w:p>
      <w:pPr>
        <w:pStyle w:val="58"/>
        <w:ind w:firstLine="420"/>
      </w:pPr>
      <w:r>
        <w:rPr>
          <w:rFonts w:hint="eastAsia"/>
        </w:rPr>
        <w:t>本文件主要起草人：任世奇、唐庆兰、陈健波、邱炳发、沈云、陈乃明、莫雅芳、梁燕芳、邓玉华、邓紫宇、伍琪、郭东强、卢翠香、刘媛、周维、陈升侃、甘春雁、詹定举、吴兵、魏国宇、吴红英、黄黎敏、杨中宁、韦振道、朱原立、王建忠、熊涛、马洪轩、蒋琳。</w:t>
      </w:r>
    </w:p>
    <w:p>
      <w:pPr>
        <w:pStyle w:val="58"/>
        <w:ind w:firstLine="420"/>
        <w:sectPr>
          <w:headerReference r:id="rId9" w:type="default"/>
          <w:footerReference r:id="rId11" w:type="default"/>
          <w:headerReference r:id="rId10" w:type="even"/>
          <w:pgSz w:w="11906" w:h="16838"/>
          <w:pgMar w:top="567" w:right="1134" w:bottom="1134" w:left="1134" w:header="1418" w:footer="1134" w:gutter="284"/>
          <w:pgNumType w:fmt="upperRoman" w:start="1"/>
          <w:cols w:space="425" w:num="1"/>
          <w:formProt w:val="0"/>
          <w:docGrid w:linePitch="312" w:charSpace="0"/>
        </w:sectPr>
      </w:pPr>
    </w:p>
    <w:bookmarkEnd w:id="21"/>
    <w:p>
      <w:pPr>
        <w:spacing w:line="20" w:lineRule="exact"/>
        <w:jc w:val="center"/>
        <w:rPr>
          <w:rFonts w:ascii="黑体" w:hAnsi="黑体" w:eastAsia="黑体"/>
          <w:sz w:val="32"/>
          <w:szCs w:val="32"/>
        </w:rPr>
      </w:pPr>
      <w:bookmarkStart w:id="22" w:name="BookMark4"/>
    </w:p>
    <w:p>
      <w:pPr>
        <w:spacing w:line="20" w:lineRule="exact"/>
        <w:jc w:val="center"/>
        <w:rPr>
          <w:rFonts w:ascii="黑体" w:hAnsi="黑体" w:eastAsia="黑体"/>
          <w:sz w:val="32"/>
          <w:szCs w:val="32"/>
        </w:rPr>
      </w:pPr>
    </w:p>
    <w:sdt>
      <w:sdtPr>
        <w:tag w:val="NEW_STAND_NAME"/>
        <w:id w:val="595910757"/>
        <w:lock w:val="sdtLocked"/>
        <w:placeholder>
          <w:docPart w:val="E9BE5348AC9446C794DC0649D7F69BC2"/>
        </w:placeholder>
      </w:sdtPr>
      <w:sdtContent>
        <w:p>
          <w:pPr>
            <w:pStyle w:val="179"/>
            <w:spacing w:before="436" w:beforeLines="182" w:after="528" w:afterLines="220"/>
          </w:pPr>
          <w:bookmarkStart w:id="23" w:name="NEW_STAND_NAME"/>
          <w:r>
            <w:rPr>
              <w:rFonts w:hint="eastAsia"/>
            </w:rPr>
            <w:t>桉树优质苗木工厂化生产管理技术规程</w:t>
          </w:r>
        </w:p>
      </w:sdtContent>
    </w:sdt>
    <w:bookmarkEnd w:id="23"/>
    <w:p>
      <w:pPr>
        <w:pStyle w:val="106"/>
        <w:spacing w:before="240" w:after="240"/>
      </w:pPr>
      <w:bookmarkStart w:id="24" w:name="_Toc24884211"/>
      <w:bookmarkStart w:id="25" w:name="_Toc26986530"/>
      <w:bookmarkStart w:id="26" w:name="_Toc26648465"/>
      <w:bookmarkStart w:id="27" w:name="_Toc17233325"/>
      <w:bookmarkStart w:id="28" w:name="_Toc24884218"/>
      <w:bookmarkStart w:id="29" w:name="_Toc26718930"/>
      <w:bookmarkStart w:id="30" w:name="_Toc26986771"/>
      <w:bookmarkStart w:id="31" w:name="_Toc17233333"/>
      <w:r>
        <w:rPr>
          <w:rFonts w:hint="eastAsia"/>
        </w:rPr>
        <w:t>范围</w:t>
      </w:r>
      <w:bookmarkEnd w:id="24"/>
      <w:bookmarkEnd w:id="25"/>
      <w:bookmarkEnd w:id="26"/>
      <w:bookmarkEnd w:id="27"/>
      <w:bookmarkEnd w:id="28"/>
      <w:bookmarkEnd w:id="29"/>
      <w:bookmarkEnd w:id="30"/>
      <w:bookmarkEnd w:id="31"/>
    </w:p>
    <w:p>
      <w:pPr>
        <w:pStyle w:val="58"/>
        <w:ind w:firstLine="420"/>
        <w:rPr>
          <w:rFonts w:hAnsi="宋体"/>
          <w:szCs w:val="28"/>
        </w:rPr>
      </w:pPr>
      <w:bookmarkStart w:id="32" w:name="_Toc17233334"/>
      <w:bookmarkStart w:id="33" w:name="_Toc17233326"/>
      <w:bookmarkStart w:id="34" w:name="_Toc24884219"/>
      <w:bookmarkStart w:id="35" w:name="_Toc26648466"/>
      <w:bookmarkStart w:id="36" w:name="_Toc24884212"/>
      <w:r>
        <w:rPr>
          <w:rFonts w:hint="eastAsia"/>
        </w:rPr>
        <w:t>本文</w:t>
      </w:r>
      <w:r>
        <w:rPr>
          <w:rFonts w:hint="eastAsia"/>
          <w:szCs w:val="22"/>
        </w:rPr>
        <w:t>规定了桉树优质苗木工厂化生产管理的术语和定义、</w:t>
      </w:r>
      <w:r>
        <w:rPr>
          <w:rFonts w:hint="eastAsia" w:hAnsi="宋体"/>
          <w:szCs w:val="28"/>
        </w:rPr>
        <w:t>苗圃地选择、苗木培育、苗木质量、起苗、包装和运输、检测方法、木苗标签、育苗档案。</w:t>
      </w:r>
    </w:p>
    <w:p>
      <w:pPr>
        <w:pStyle w:val="58"/>
        <w:ind w:firstLine="420"/>
      </w:pPr>
      <w:r>
        <w:rPr>
          <w:rFonts w:hint="eastAsia"/>
          <w:szCs w:val="22"/>
        </w:rPr>
        <w:t>本文件适用于广西桉树优质苗木工厂化生产管理。</w:t>
      </w:r>
    </w:p>
    <w:p>
      <w:pPr>
        <w:pStyle w:val="106"/>
        <w:spacing w:before="240" w:after="240"/>
      </w:pPr>
      <w:bookmarkStart w:id="37" w:name="_Toc26986772"/>
      <w:bookmarkStart w:id="38" w:name="_Toc26718931"/>
      <w:bookmarkStart w:id="39" w:name="_Toc26986531"/>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6921739EA2414F5A8053D3210E83990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236"/>
        <w:rPr>
          <w:color w:val="000000"/>
        </w:rPr>
      </w:pPr>
      <w:r>
        <w:rPr>
          <w:rFonts w:hint="eastAsia"/>
          <w:color w:val="000000"/>
        </w:rPr>
        <w:t>LY/T 1770—2008  桉树无性系组培快繁技术规程</w:t>
      </w:r>
    </w:p>
    <w:p>
      <w:pPr>
        <w:pStyle w:val="236"/>
        <w:rPr>
          <w:color w:val="000000"/>
        </w:rPr>
      </w:pPr>
      <w:r>
        <w:rPr>
          <w:rFonts w:hint="eastAsia"/>
          <w:color w:val="000000"/>
        </w:rPr>
        <w:t>LY/T 228</w:t>
      </w:r>
      <w:r>
        <w:rPr>
          <w:color w:val="000000"/>
        </w:rPr>
        <w:t>0</w:t>
      </w:r>
      <w:r>
        <w:rPr>
          <w:rFonts w:hint="eastAsia"/>
          <w:color w:val="000000"/>
        </w:rPr>
        <w:t>—2</w:t>
      </w:r>
      <w:r>
        <w:rPr>
          <w:color w:val="000000"/>
        </w:rPr>
        <w:t>018</w:t>
      </w:r>
      <w:r>
        <w:rPr>
          <w:rFonts w:hint="eastAsia"/>
          <w:color w:val="000000"/>
        </w:rPr>
        <w:t xml:space="preserve">  林木种苗生产经营档案</w:t>
      </w:r>
    </w:p>
    <w:p>
      <w:pPr>
        <w:pStyle w:val="236"/>
        <w:rPr>
          <w:color w:val="000000"/>
        </w:rPr>
      </w:pPr>
      <w:r>
        <w:rPr>
          <w:rFonts w:hint="eastAsia"/>
          <w:color w:val="000000"/>
        </w:rPr>
        <w:t>LY/T 2290—2</w:t>
      </w:r>
      <w:r>
        <w:rPr>
          <w:color w:val="000000"/>
        </w:rPr>
        <w:t>018</w:t>
      </w:r>
      <w:r>
        <w:rPr>
          <w:rFonts w:hint="eastAsia"/>
          <w:color w:val="000000"/>
        </w:rPr>
        <w:t xml:space="preserve">  林木种苗标签</w:t>
      </w:r>
    </w:p>
    <w:p>
      <w:pPr>
        <w:pStyle w:val="58"/>
        <w:ind w:firstLine="420"/>
        <w:rPr>
          <w:rFonts w:hAnsi="Calibri"/>
          <w:color w:val="000000"/>
        </w:rPr>
      </w:pPr>
      <w:r>
        <w:rPr>
          <w:rFonts w:hint="eastAsia" w:hAnsi="Calibri"/>
          <w:color w:val="000000"/>
        </w:rPr>
        <w:t>DB45/T 1777—2018  邓恩桉实生苗培育技术</w:t>
      </w:r>
    </w:p>
    <w:p>
      <w:pPr>
        <w:pStyle w:val="106"/>
        <w:spacing w:before="240" w:after="240"/>
      </w:pPr>
      <w:r>
        <w:rPr>
          <w:rFonts w:hint="eastAsia"/>
          <w:szCs w:val="21"/>
        </w:rPr>
        <w:t>术语和定义</w:t>
      </w:r>
    </w:p>
    <w:sdt>
      <w:sdtPr>
        <w:id w:val="-1909835108"/>
        <w:placeholder>
          <w:docPart w:val="EBE86C39742C424EB1AFC02B3373988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8"/>
            <w:ind w:firstLine="420"/>
          </w:pPr>
          <w:bookmarkStart w:id="40" w:name="_Toc26986532"/>
          <w:bookmarkEnd w:id="40"/>
          <w:r>
            <w:t>下列术语和定义适用于本文件。</w:t>
          </w:r>
        </w:p>
      </w:sdtContent>
    </w:sdt>
    <w:p>
      <w:pPr>
        <w:pStyle w:val="225"/>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基质 </w:t>
      </w:r>
      <w:r>
        <w:rPr>
          <w:rFonts w:ascii="黑体" w:hAnsi="黑体" w:eastAsia="黑体"/>
        </w:rPr>
        <w:t xml:space="preserve"> </w:t>
      </w:r>
      <w:r>
        <w:rPr>
          <w:rFonts w:hint="eastAsia" w:ascii="黑体" w:hAnsi="黑体" w:eastAsia="黑体"/>
        </w:rPr>
        <w:t>me</w:t>
      </w:r>
      <w:r>
        <w:rPr>
          <w:rFonts w:ascii="黑体" w:hAnsi="黑体" w:eastAsia="黑体"/>
        </w:rPr>
        <w:t>dium</w:t>
      </w:r>
    </w:p>
    <w:p>
      <w:pPr>
        <w:pStyle w:val="58"/>
        <w:ind w:firstLine="420"/>
      </w:pPr>
      <w:r>
        <w:rPr>
          <w:rFonts w:hint="eastAsia"/>
        </w:rPr>
        <w:t>用于培育苗木的基本物质。</w:t>
      </w:r>
    </w:p>
    <w:p>
      <w:pPr>
        <w:pStyle w:val="225"/>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播种基质 </w:t>
      </w:r>
      <w:r>
        <w:rPr>
          <w:rFonts w:ascii="黑体" w:hAnsi="黑体" w:eastAsia="黑体"/>
        </w:rPr>
        <w:t xml:space="preserve"> t</w:t>
      </w:r>
      <w:r>
        <w:rPr>
          <w:rFonts w:hint="eastAsia" w:ascii="黑体" w:hAnsi="黑体" w:eastAsia="黑体"/>
        </w:rPr>
        <w:t>o</w:t>
      </w:r>
      <w:r>
        <w:rPr>
          <w:rFonts w:ascii="黑体" w:hAnsi="黑体" w:eastAsia="黑体"/>
        </w:rPr>
        <w:t>wing medium</w:t>
      </w:r>
    </w:p>
    <w:p>
      <w:pPr>
        <w:pStyle w:val="58"/>
        <w:ind w:firstLine="420"/>
      </w:pPr>
      <w:r>
        <w:rPr>
          <w:rFonts w:hint="eastAsia"/>
        </w:rPr>
        <w:t>用于撒播种子的基质。</w:t>
      </w:r>
    </w:p>
    <w:p>
      <w:pPr>
        <w:pStyle w:val="225"/>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移栽基质 </w:t>
      </w:r>
      <w:r>
        <w:rPr>
          <w:rFonts w:ascii="黑体" w:hAnsi="黑体" w:eastAsia="黑体"/>
        </w:rPr>
        <w:t xml:space="preserve"> t</w:t>
      </w:r>
      <w:r>
        <w:rPr>
          <w:rFonts w:hint="eastAsia" w:ascii="黑体" w:hAnsi="黑体" w:eastAsia="黑体"/>
        </w:rPr>
        <w:t>r</w:t>
      </w:r>
      <w:r>
        <w:rPr>
          <w:rFonts w:ascii="黑体" w:hAnsi="黑体" w:eastAsia="黑体"/>
        </w:rPr>
        <w:t>ansplanting matrix</w:t>
      </w:r>
    </w:p>
    <w:p>
      <w:pPr>
        <w:pStyle w:val="58"/>
        <w:ind w:firstLine="420"/>
      </w:pPr>
      <w:r>
        <w:rPr>
          <w:rFonts w:hint="eastAsia"/>
        </w:rPr>
        <w:t>用于移栽小苗的基质。</w:t>
      </w:r>
    </w:p>
    <w:p>
      <w:pPr>
        <w:pStyle w:val="225"/>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采穗母株 </w:t>
      </w:r>
      <w:r>
        <w:rPr>
          <w:rFonts w:ascii="黑体" w:hAnsi="黑体" w:eastAsia="黑体"/>
        </w:rPr>
        <w:t xml:space="preserve"> s</w:t>
      </w:r>
      <w:r>
        <w:rPr>
          <w:rFonts w:hint="eastAsia" w:ascii="黑体" w:hAnsi="黑体" w:eastAsia="黑体"/>
        </w:rPr>
        <w:t>tock</w:t>
      </w:r>
      <w:r>
        <w:rPr>
          <w:rFonts w:ascii="黑体" w:hAnsi="黑体" w:eastAsia="黑体"/>
        </w:rPr>
        <w:t xml:space="preserve"> plant</w:t>
      </w:r>
    </w:p>
    <w:p>
      <w:pPr>
        <w:pStyle w:val="58"/>
        <w:ind w:firstLine="420"/>
      </w:pPr>
      <w:r>
        <w:rPr>
          <w:rFonts w:hint="eastAsia"/>
        </w:rPr>
        <w:t>生产穗条的母本植株。</w:t>
      </w:r>
    </w:p>
    <w:p>
      <w:pPr>
        <w:pStyle w:val="225"/>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采穗圃 </w:t>
      </w:r>
      <w:r>
        <w:rPr>
          <w:rFonts w:ascii="黑体" w:hAnsi="黑体" w:eastAsia="黑体"/>
        </w:rPr>
        <w:t xml:space="preserve"> c</w:t>
      </w:r>
      <w:r>
        <w:rPr>
          <w:rFonts w:hint="eastAsia" w:ascii="黑体" w:hAnsi="黑体" w:eastAsia="黑体"/>
        </w:rPr>
        <w:t>u</w:t>
      </w:r>
      <w:r>
        <w:rPr>
          <w:rFonts w:ascii="黑体" w:hAnsi="黑体" w:eastAsia="黑体"/>
        </w:rPr>
        <w:t>tting orchard</w:t>
      </w:r>
    </w:p>
    <w:p>
      <w:pPr>
        <w:pStyle w:val="58"/>
        <w:ind w:firstLine="420"/>
      </w:pPr>
      <w:r>
        <w:rPr>
          <w:rFonts w:hint="eastAsia"/>
        </w:rPr>
        <w:t>生产优良穗条的母本种植园。</w:t>
      </w:r>
    </w:p>
    <w:p>
      <w:pPr>
        <w:pStyle w:val="225"/>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穗条 </w:t>
      </w:r>
      <w:r>
        <w:rPr>
          <w:rFonts w:ascii="黑体" w:hAnsi="黑体" w:eastAsia="黑体"/>
        </w:rPr>
        <w:t xml:space="preserve"> s</w:t>
      </w:r>
      <w:r>
        <w:rPr>
          <w:rFonts w:hint="eastAsia" w:ascii="黑体" w:hAnsi="黑体" w:eastAsia="黑体"/>
        </w:rPr>
        <w:t>cion</w:t>
      </w:r>
    </w:p>
    <w:p>
      <w:pPr>
        <w:pStyle w:val="58"/>
        <w:ind w:firstLine="420"/>
      </w:pPr>
      <w:r>
        <w:rPr>
          <w:rFonts w:hint="eastAsia"/>
        </w:rPr>
        <w:t>用于扦插育苗的枝条或茎段。</w:t>
      </w:r>
    </w:p>
    <w:p>
      <w:pPr>
        <w:pStyle w:val="225"/>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扦插 </w:t>
      </w:r>
      <w:r>
        <w:rPr>
          <w:rFonts w:ascii="黑体" w:hAnsi="黑体" w:eastAsia="黑体"/>
        </w:rPr>
        <w:t xml:space="preserve"> c</w:t>
      </w:r>
      <w:r>
        <w:rPr>
          <w:rFonts w:hint="eastAsia" w:ascii="黑体" w:hAnsi="黑体" w:eastAsia="黑体"/>
        </w:rPr>
        <w:t>u</w:t>
      </w:r>
      <w:r>
        <w:rPr>
          <w:rFonts w:ascii="黑体" w:hAnsi="黑体" w:eastAsia="黑体"/>
        </w:rPr>
        <w:t>tting</w:t>
      </w:r>
    </w:p>
    <w:p>
      <w:pPr>
        <w:pStyle w:val="58"/>
        <w:ind w:firstLine="420"/>
      </w:pPr>
      <w:r>
        <w:rPr>
          <w:rFonts w:hint="eastAsia"/>
        </w:rPr>
        <w:t>用植物的枝条或茎段，经处理后插在适宜的基质中，促使枝条或茎段基部发生不定根并形成完整植物的过程。</w:t>
      </w:r>
    </w:p>
    <w:p>
      <w:pPr>
        <w:pStyle w:val="225"/>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无性系 </w:t>
      </w:r>
      <w:r>
        <w:rPr>
          <w:rFonts w:ascii="黑体" w:hAnsi="黑体" w:eastAsia="黑体"/>
        </w:rPr>
        <w:t xml:space="preserve"> c</w:t>
      </w:r>
      <w:r>
        <w:rPr>
          <w:rFonts w:hint="eastAsia" w:ascii="黑体" w:hAnsi="黑体" w:eastAsia="黑体"/>
        </w:rPr>
        <w:t>lo</w:t>
      </w:r>
      <w:r>
        <w:rPr>
          <w:rFonts w:ascii="黑体" w:hAnsi="黑体" w:eastAsia="黑体"/>
        </w:rPr>
        <w:t>ne</w:t>
      </w:r>
    </w:p>
    <w:p>
      <w:pPr>
        <w:pStyle w:val="58"/>
        <w:ind w:firstLine="420"/>
      </w:pPr>
      <w:r>
        <w:rPr>
          <w:rFonts w:hint="eastAsia"/>
        </w:rPr>
        <w:t>由同一原株营养繁殖产生的植株总和。</w:t>
      </w:r>
    </w:p>
    <w:p>
      <w:pPr>
        <w:pStyle w:val="225"/>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外植体 </w:t>
      </w:r>
      <w:r>
        <w:rPr>
          <w:rFonts w:ascii="黑体" w:hAnsi="黑体" w:eastAsia="黑体"/>
        </w:rPr>
        <w:t xml:space="preserve"> cultures</w:t>
      </w:r>
    </w:p>
    <w:p>
      <w:pPr>
        <w:pStyle w:val="58"/>
        <w:ind w:firstLine="420"/>
      </w:pPr>
      <w:r>
        <w:rPr>
          <w:rFonts w:hint="eastAsia"/>
        </w:rPr>
        <w:t>用于植物组织培养的离体器官、组织或细胞以及原生质体。</w:t>
      </w:r>
    </w:p>
    <w:p>
      <w:pPr>
        <w:pStyle w:val="225"/>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培养基 </w:t>
      </w:r>
      <w:r>
        <w:rPr>
          <w:rFonts w:ascii="黑体" w:hAnsi="黑体" w:eastAsia="黑体"/>
        </w:rPr>
        <w:t xml:space="preserve"> m</w:t>
      </w:r>
      <w:r>
        <w:rPr>
          <w:rFonts w:hint="eastAsia" w:ascii="黑体" w:hAnsi="黑体" w:eastAsia="黑体"/>
        </w:rPr>
        <w:t>e</w:t>
      </w:r>
      <w:r>
        <w:rPr>
          <w:rFonts w:ascii="黑体" w:hAnsi="黑体" w:eastAsia="黑体"/>
        </w:rPr>
        <w:t>dium</w:t>
      </w:r>
    </w:p>
    <w:p>
      <w:pPr>
        <w:pStyle w:val="58"/>
        <w:ind w:firstLine="420"/>
      </w:pPr>
      <w:r>
        <w:rPr>
          <w:rFonts w:hint="eastAsia"/>
        </w:rPr>
        <w:t>根据植物营养原理和植物组织培养要求人工配制的营养基质。</w:t>
      </w:r>
    </w:p>
    <w:p>
      <w:pPr>
        <w:pStyle w:val="225"/>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接种 </w:t>
      </w:r>
      <w:r>
        <w:rPr>
          <w:rFonts w:ascii="黑体" w:hAnsi="黑体" w:eastAsia="黑体"/>
        </w:rPr>
        <w:t xml:space="preserve"> i</w:t>
      </w:r>
      <w:r>
        <w:rPr>
          <w:rFonts w:hint="eastAsia" w:ascii="黑体" w:hAnsi="黑体" w:eastAsia="黑体"/>
        </w:rPr>
        <w:t>n</w:t>
      </w:r>
      <w:r>
        <w:rPr>
          <w:rFonts w:ascii="黑体" w:hAnsi="黑体" w:eastAsia="黑体"/>
        </w:rPr>
        <w:t>oculation</w:t>
      </w:r>
    </w:p>
    <w:p>
      <w:pPr>
        <w:pStyle w:val="58"/>
        <w:ind w:firstLine="420"/>
      </w:pPr>
      <w:r>
        <w:rPr>
          <w:rFonts w:hint="eastAsia"/>
        </w:rPr>
        <w:t>指在无菌条件下，将处理好的植物组织材料置于培养基的操作过程。</w:t>
      </w:r>
    </w:p>
    <w:p>
      <w:pPr>
        <w:pStyle w:val="225"/>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污染 </w:t>
      </w:r>
      <w:r>
        <w:rPr>
          <w:rFonts w:ascii="黑体" w:hAnsi="黑体" w:eastAsia="黑体"/>
        </w:rPr>
        <w:t xml:space="preserve"> c</w:t>
      </w:r>
      <w:r>
        <w:rPr>
          <w:rFonts w:hint="eastAsia" w:ascii="黑体" w:hAnsi="黑体" w:eastAsia="黑体"/>
        </w:rPr>
        <w:t>on</w:t>
      </w:r>
      <w:r>
        <w:rPr>
          <w:rFonts w:ascii="黑体" w:hAnsi="黑体" w:eastAsia="黑体"/>
        </w:rPr>
        <w:t>tamination</w:t>
      </w:r>
    </w:p>
    <w:p>
      <w:pPr>
        <w:pStyle w:val="58"/>
        <w:ind w:firstLine="420"/>
      </w:pPr>
      <w:r>
        <w:rPr>
          <w:rFonts w:hint="eastAsia"/>
        </w:rPr>
        <w:t>在培养基或植物组织等培养材料上生长着真菌、细菌等微生物的现场。</w:t>
      </w:r>
    </w:p>
    <w:p>
      <w:pPr>
        <w:pStyle w:val="225"/>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暗培养 </w:t>
      </w:r>
      <w:r>
        <w:rPr>
          <w:rFonts w:ascii="黑体" w:hAnsi="黑体" w:eastAsia="黑体"/>
        </w:rPr>
        <w:t xml:space="preserve"> d</w:t>
      </w:r>
      <w:r>
        <w:rPr>
          <w:rFonts w:hint="eastAsia" w:ascii="黑体" w:hAnsi="黑体" w:eastAsia="黑体"/>
        </w:rPr>
        <w:t>ark</w:t>
      </w:r>
      <w:r>
        <w:rPr>
          <w:rFonts w:ascii="黑体" w:hAnsi="黑体" w:eastAsia="黑体"/>
        </w:rPr>
        <w:t xml:space="preserve"> culture</w:t>
      </w:r>
    </w:p>
    <w:p>
      <w:pPr>
        <w:pStyle w:val="58"/>
        <w:ind w:firstLine="420"/>
      </w:pPr>
      <w:r>
        <w:rPr>
          <w:rFonts w:hint="eastAsia"/>
        </w:rPr>
        <w:t>全天无光照的培养。</w:t>
      </w:r>
    </w:p>
    <w:p>
      <w:pPr>
        <w:pStyle w:val="225"/>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光照培养 </w:t>
      </w:r>
      <w:r>
        <w:rPr>
          <w:rFonts w:ascii="黑体" w:hAnsi="黑体" w:eastAsia="黑体"/>
        </w:rPr>
        <w:t xml:space="preserve"> l</w:t>
      </w:r>
      <w:r>
        <w:rPr>
          <w:rFonts w:hint="eastAsia" w:ascii="黑体" w:hAnsi="黑体" w:eastAsia="黑体"/>
        </w:rPr>
        <w:t>i</w:t>
      </w:r>
      <w:r>
        <w:rPr>
          <w:rFonts w:ascii="黑体" w:hAnsi="黑体" w:eastAsia="黑体"/>
        </w:rPr>
        <w:t>ght culture</w:t>
      </w:r>
    </w:p>
    <w:p>
      <w:pPr>
        <w:pStyle w:val="58"/>
        <w:ind w:firstLine="420"/>
      </w:pPr>
      <w:r>
        <w:rPr>
          <w:rFonts w:hint="eastAsia"/>
        </w:rPr>
        <w:t>一天有8</w:t>
      </w:r>
      <w:r>
        <w:rPr>
          <w:vertAlign w:val="superscript"/>
        </w:rPr>
        <w:t xml:space="preserve"> </w:t>
      </w:r>
      <w:r>
        <w:rPr>
          <w:rFonts w:hint="eastAsia"/>
        </w:rPr>
        <w:t>h</w:t>
      </w:r>
      <w:r>
        <w:rPr>
          <w:rFonts w:hint="eastAsia" w:hAnsi="宋体"/>
        </w:rPr>
        <w:t>～</w:t>
      </w:r>
      <w:r>
        <w:rPr>
          <w:rFonts w:hint="eastAsia"/>
        </w:rPr>
        <w:t>12</w:t>
      </w:r>
      <w:r>
        <w:rPr>
          <w:vertAlign w:val="superscript"/>
        </w:rPr>
        <w:t xml:space="preserve"> </w:t>
      </w:r>
      <w:r>
        <w:t>h</w:t>
      </w:r>
      <w:r>
        <w:rPr>
          <w:rFonts w:hint="eastAsia"/>
        </w:rPr>
        <w:t>光照的培养。</w:t>
      </w:r>
    </w:p>
    <w:p>
      <w:pPr>
        <w:pStyle w:val="225"/>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诱导培养 </w:t>
      </w:r>
      <w:r>
        <w:rPr>
          <w:rFonts w:ascii="黑体" w:hAnsi="黑体" w:eastAsia="黑体"/>
        </w:rPr>
        <w:t xml:space="preserve"> i</w:t>
      </w:r>
      <w:r>
        <w:rPr>
          <w:rFonts w:hint="eastAsia" w:ascii="黑体" w:hAnsi="黑体" w:eastAsia="黑体"/>
        </w:rPr>
        <w:t>n</w:t>
      </w:r>
      <w:r>
        <w:rPr>
          <w:rFonts w:ascii="黑体" w:hAnsi="黑体" w:eastAsia="黑体"/>
        </w:rPr>
        <w:t>duction culture</w:t>
      </w:r>
    </w:p>
    <w:p>
      <w:pPr>
        <w:pStyle w:val="58"/>
        <w:ind w:firstLine="420"/>
      </w:pPr>
      <w:r>
        <w:rPr>
          <w:rFonts w:hint="eastAsia"/>
        </w:rPr>
        <w:t>诱导腋芽萌发并形成不定芽的过程。</w:t>
      </w:r>
    </w:p>
    <w:p>
      <w:pPr>
        <w:pStyle w:val="225"/>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增殖培养 </w:t>
      </w:r>
      <w:r>
        <w:rPr>
          <w:rFonts w:ascii="黑体" w:hAnsi="黑体" w:eastAsia="黑体"/>
        </w:rPr>
        <w:t xml:space="preserve"> p</w:t>
      </w:r>
      <w:r>
        <w:rPr>
          <w:rFonts w:hint="eastAsia" w:ascii="黑体" w:hAnsi="黑体" w:eastAsia="黑体"/>
        </w:rPr>
        <w:t>r</w:t>
      </w:r>
      <w:r>
        <w:rPr>
          <w:rFonts w:ascii="黑体" w:hAnsi="黑体" w:eastAsia="黑体"/>
        </w:rPr>
        <w:t>oliferation culture</w:t>
      </w:r>
    </w:p>
    <w:p>
      <w:pPr>
        <w:pStyle w:val="58"/>
        <w:ind w:firstLine="420"/>
      </w:pPr>
      <w:r>
        <w:rPr>
          <w:rFonts w:hint="eastAsia"/>
        </w:rPr>
        <w:t>离体芽苗、愈伤组织不断倍增的培养过程。</w:t>
      </w:r>
    </w:p>
    <w:p>
      <w:pPr>
        <w:pStyle w:val="225"/>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生根培养 </w:t>
      </w:r>
      <w:r>
        <w:rPr>
          <w:rFonts w:ascii="黑体" w:hAnsi="黑体" w:eastAsia="黑体"/>
        </w:rPr>
        <w:t xml:space="preserve"> r</w:t>
      </w:r>
      <w:r>
        <w:rPr>
          <w:rFonts w:hint="eastAsia" w:ascii="黑体" w:hAnsi="黑体" w:eastAsia="黑体"/>
        </w:rPr>
        <w:t>oot</w:t>
      </w:r>
      <w:r>
        <w:rPr>
          <w:rFonts w:ascii="黑体" w:hAnsi="黑体" w:eastAsia="黑体"/>
        </w:rPr>
        <w:t>ing culture</w:t>
      </w:r>
    </w:p>
    <w:p>
      <w:pPr>
        <w:pStyle w:val="58"/>
        <w:ind w:firstLine="420"/>
      </w:pPr>
      <w:r>
        <w:rPr>
          <w:rFonts w:hint="eastAsia"/>
        </w:rPr>
        <w:t>诱导不定芽形成不定根的过程。</w:t>
      </w:r>
    </w:p>
    <w:p>
      <w:pPr>
        <w:pStyle w:val="225"/>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瓶苗 </w:t>
      </w:r>
      <w:r>
        <w:rPr>
          <w:rFonts w:ascii="黑体" w:hAnsi="黑体" w:eastAsia="黑体"/>
        </w:rPr>
        <w:t xml:space="preserve"> t</w:t>
      </w:r>
      <w:r>
        <w:rPr>
          <w:rFonts w:hint="eastAsia" w:ascii="黑体" w:hAnsi="黑体" w:eastAsia="黑体"/>
        </w:rPr>
        <w:t>ube</w:t>
      </w:r>
      <w:r>
        <w:rPr>
          <w:rFonts w:ascii="黑体" w:hAnsi="黑体" w:eastAsia="黑体"/>
        </w:rPr>
        <w:t xml:space="preserve"> seedling</w:t>
      </w:r>
    </w:p>
    <w:p>
      <w:pPr>
        <w:pStyle w:val="58"/>
        <w:ind w:firstLine="420"/>
      </w:pPr>
      <w:r>
        <w:rPr>
          <w:rFonts w:hint="eastAsia"/>
        </w:rPr>
        <w:t>通过植物组织培养产生的离体小植株。</w:t>
      </w:r>
    </w:p>
    <w:p>
      <w:pPr>
        <w:pStyle w:val="225"/>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炼苗 </w:t>
      </w:r>
      <w:r>
        <w:rPr>
          <w:rFonts w:ascii="黑体" w:hAnsi="黑体" w:eastAsia="黑体"/>
        </w:rPr>
        <w:t xml:space="preserve"> e</w:t>
      </w:r>
      <w:r>
        <w:rPr>
          <w:rFonts w:hint="eastAsia" w:ascii="黑体" w:hAnsi="黑体" w:eastAsia="黑体"/>
        </w:rPr>
        <w:t>xer</w:t>
      </w:r>
      <w:r>
        <w:rPr>
          <w:rFonts w:ascii="黑体" w:hAnsi="黑体" w:eastAsia="黑体"/>
        </w:rPr>
        <w:t>cising seedling</w:t>
      </w:r>
    </w:p>
    <w:p>
      <w:pPr>
        <w:pStyle w:val="58"/>
        <w:ind w:firstLine="420"/>
      </w:pPr>
      <w:r>
        <w:rPr>
          <w:rFonts w:hint="eastAsia"/>
        </w:rPr>
        <w:t>将组织培养的生根瓶苗从人工控制的培养环境转移到近自然环境中培养的过程。</w:t>
      </w:r>
    </w:p>
    <w:p>
      <w:pPr>
        <w:pStyle w:val="106"/>
        <w:spacing w:before="240" w:after="240"/>
      </w:pPr>
      <w:r>
        <w:rPr>
          <w:rFonts w:hint="eastAsia"/>
        </w:rPr>
        <w:t>苗圃地选择</w:t>
      </w:r>
    </w:p>
    <w:p>
      <w:pPr>
        <w:pStyle w:val="58"/>
        <w:ind w:firstLine="420"/>
      </w:pPr>
      <w:r>
        <w:rPr>
          <w:rFonts w:hint="eastAsia"/>
        </w:rPr>
        <w:t>选择交通方便、水源充足、水质良好、排灌良好、土地平坦、无检疫对象病虫害的场所。</w:t>
      </w:r>
    </w:p>
    <w:p>
      <w:pPr>
        <w:pStyle w:val="106"/>
        <w:spacing w:before="240" w:after="240"/>
      </w:pPr>
      <w:r>
        <w:rPr>
          <w:rFonts w:hint="eastAsia"/>
        </w:rPr>
        <w:t>苗木培育</w:t>
      </w:r>
    </w:p>
    <w:p>
      <w:pPr>
        <w:pStyle w:val="107"/>
        <w:spacing w:before="120" w:after="120"/>
      </w:pPr>
      <w:r>
        <w:rPr>
          <w:rFonts w:hint="eastAsia"/>
        </w:rPr>
        <w:t>种子育苗</w:t>
      </w:r>
    </w:p>
    <w:p>
      <w:pPr>
        <w:pStyle w:val="67"/>
        <w:spacing w:before="120" w:after="120"/>
      </w:pPr>
      <w:r>
        <w:rPr>
          <w:rFonts w:hint="eastAsia"/>
        </w:rPr>
        <w:t>种子来源</w:t>
      </w:r>
    </w:p>
    <w:p>
      <w:pPr>
        <w:pStyle w:val="58"/>
        <w:ind w:firstLine="420"/>
      </w:pPr>
      <w:r>
        <w:rPr>
          <w:rFonts w:hint="eastAsia"/>
        </w:rPr>
        <w:t>选用种子园或母树林生产的优质种子。</w:t>
      </w:r>
    </w:p>
    <w:p>
      <w:pPr>
        <w:pStyle w:val="67"/>
        <w:spacing w:before="120" w:after="120"/>
      </w:pPr>
      <w:r>
        <w:rPr>
          <w:rFonts w:hint="eastAsia"/>
        </w:rPr>
        <w:t>播种时间</w:t>
      </w:r>
    </w:p>
    <w:p>
      <w:pPr>
        <w:pStyle w:val="58"/>
        <w:ind w:firstLine="420"/>
        <w:rPr>
          <w:rFonts w:hAnsi="宋体"/>
        </w:rPr>
      </w:pPr>
      <w:r>
        <w:rPr>
          <w:rFonts w:hint="eastAsia"/>
        </w:rPr>
        <w:t>每年9月</w:t>
      </w:r>
      <w:r>
        <w:rPr>
          <w:rFonts w:hint="eastAsia" w:hAnsi="宋体"/>
        </w:rPr>
        <w:t>～10月份播种。</w:t>
      </w:r>
    </w:p>
    <w:p>
      <w:pPr>
        <w:pStyle w:val="67"/>
        <w:spacing w:before="120" w:after="120"/>
      </w:pPr>
      <w:r>
        <w:rPr>
          <w:rFonts w:hint="eastAsia"/>
        </w:rPr>
        <w:t>播种苗床准备及处理</w:t>
      </w:r>
    </w:p>
    <w:p>
      <w:pPr>
        <w:pStyle w:val="166"/>
      </w:pPr>
      <w:r>
        <w:rPr>
          <w:rFonts w:hint="eastAsia"/>
        </w:rPr>
        <w:t>采用高苗床育苗，苗床高出地面10</w:t>
      </w:r>
      <w:r>
        <w:rPr>
          <w:vertAlign w:val="superscript"/>
        </w:rPr>
        <w:t xml:space="preserve"> </w:t>
      </w:r>
      <w:r>
        <w:t>cm</w:t>
      </w:r>
      <w:r>
        <w:rPr>
          <w:rFonts w:hint="eastAsia"/>
        </w:rPr>
        <w:t>～15</w:t>
      </w:r>
      <w:r>
        <w:rPr>
          <w:vertAlign w:val="superscript"/>
        </w:rPr>
        <w:t xml:space="preserve"> </w:t>
      </w:r>
      <w:r>
        <w:rPr>
          <w:rFonts w:hint="eastAsia"/>
        </w:rPr>
        <w:t>cm，床面宽1.0</w:t>
      </w:r>
      <w:r>
        <w:rPr>
          <w:vertAlign w:val="superscript"/>
        </w:rPr>
        <w:t xml:space="preserve"> </w:t>
      </w:r>
      <w:r>
        <w:t>m</w:t>
      </w:r>
      <w:r>
        <w:rPr>
          <w:rFonts w:hint="eastAsia"/>
        </w:rPr>
        <w:t>～1.2</w:t>
      </w:r>
      <w:r>
        <w:rPr>
          <w:vertAlign w:val="superscript"/>
        </w:rPr>
        <w:t xml:space="preserve"> </w:t>
      </w:r>
      <w:r>
        <w:rPr>
          <w:rFonts w:hint="eastAsia"/>
        </w:rPr>
        <w:t>m。</w:t>
      </w:r>
    </w:p>
    <w:p>
      <w:pPr>
        <w:pStyle w:val="166"/>
      </w:pPr>
      <w:r>
        <w:rPr>
          <w:rFonts w:hint="eastAsia"/>
        </w:rPr>
        <w:t>黄心土与河沙按1</w:t>
      </w:r>
      <w:r>
        <w:t>:1</w:t>
      </w:r>
      <w:r>
        <w:rPr>
          <w:rFonts w:hint="eastAsia"/>
        </w:rPr>
        <w:t>混合均匀作为播种基质。先用蚂蚁防治药剂喷洒苗床后铺上播种基质，基质厚0.4</w:t>
      </w:r>
      <w:r>
        <w:rPr>
          <w:vertAlign w:val="superscript"/>
        </w:rPr>
        <w:t xml:space="preserve"> </w:t>
      </w:r>
      <w:r>
        <w:t>cm</w:t>
      </w:r>
      <w:r>
        <w:rPr>
          <w:rFonts w:hint="eastAsia" w:hAnsi="宋体"/>
        </w:rPr>
        <w:t>～0</w:t>
      </w:r>
      <w:r>
        <w:rPr>
          <w:rFonts w:hAnsi="宋体"/>
        </w:rPr>
        <w:t>.6</w:t>
      </w:r>
      <w:r>
        <w:rPr>
          <w:rFonts w:hAnsi="宋体"/>
          <w:vertAlign w:val="superscript"/>
        </w:rPr>
        <w:t xml:space="preserve"> </w:t>
      </w:r>
      <w:r>
        <w:rPr>
          <w:rFonts w:hAnsi="宋体"/>
        </w:rPr>
        <w:t>cm</w:t>
      </w:r>
      <w:r>
        <w:rPr>
          <w:rFonts w:hint="eastAsia" w:hAnsi="宋体"/>
        </w:rPr>
        <w:t>，播种前一天用0.5%的K</w:t>
      </w:r>
      <w:r>
        <w:rPr>
          <w:rFonts w:hAnsi="宋体"/>
        </w:rPr>
        <w:t>MnO</w:t>
      </w:r>
      <w:r>
        <w:rPr>
          <w:rFonts w:hAnsi="宋体"/>
          <w:vertAlign w:val="subscript"/>
        </w:rPr>
        <w:t>4</w:t>
      </w:r>
      <w:r>
        <w:rPr>
          <w:rFonts w:hint="eastAsia" w:hAnsi="宋体"/>
        </w:rPr>
        <w:t>溶液淋透。</w:t>
      </w:r>
    </w:p>
    <w:p>
      <w:pPr>
        <w:pStyle w:val="67"/>
        <w:spacing w:before="120" w:after="120"/>
      </w:pPr>
      <w:r>
        <w:rPr>
          <w:rFonts w:hint="eastAsia"/>
        </w:rPr>
        <w:t>播种方法</w:t>
      </w:r>
    </w:p>
    <w:p>
      <w:pPr>
        <w:pStyle w:val="58"/>
        <w:ind w:firstLine="420"/>
        <w:rPr>
          <w:rFonts w:hAnsi="宋体"/>
        </w:rPr>
      </w:pPr>
      <w:r>
        <w:rPr>
          <w:rFonts w:hint="eastAsia"/>
        </w:rPr>
        <w:t>将种子与河沙按1</w:t>
      </w:r>
      <w:r>
        <w:t>:2</w:t>
      </w:r>
      <w:r>
        <w:rPr>
          <w:rFonts w:hint="eastAsia"/>
        </w:rPr>
        <w:t>混合均匀后撒播，单位面积播种量根据种子的发芽率而定，每平方米3000株</w:t>
      </w:r>
      <w:r>
        <w:rPr>
          <w:rFonts w:hint="eastAsia" w:hAnsi="宋体"/>
        </w:rPr>
        <w:t>～4000株为宜，播种后覆盖一层播种基质，以不见种子为度，再用喷雾器喷淋至湿润。</w:t>
      </w:r>
    </w:p>
    <w:p>
      <w:pPr>
        <w:pStyle w:val="67"/>
        <w:spacing w:before="120" w:after="120"/>
      </w:pPr>
      <w:r>
        <w:rPr>
          <w:rFonts w:hint="eastAsia"/>
        </w:rPr>
        <w:t>小苗管理</w:t>
      </w:r>
    </w:p>
    <w:p>
      <w:pPr>
        <w:pStyle w:val="166"/>
      </w:pPr>
      <w:r>
        <w:rPr>
          <w:rFonts w:hint="eastAsia"/>
        </w:rPr>
        <w:t>播种后用铁线或竹片做拱，覆盖</w:t>
      </w:r>
      <w:r>
        <w:t>薄膜和</w:t>
      </w:r>
      <w:r>
        <w:rPr>
          <w:rFonts w:hint="eastAsia"/>
        </w:rPr>
        <w:t>遮阴</w:t>
      </w:r>
      <w:r>
        <w:t>荫网</w:t>
      </w:r>
      <w:r>
        <w:rPr>
          <w:rFonts w:hint="eastAsia"/>
        </w:rPr>
        <w:t>（遮光度70</w:t>
      </w:r>
      <w:r>
        <w:t>％</w:t>
      </w:r>
      <w:r>
        <w:rPr>
          <w:rFonts w:hint="eastAsia"/>
        </w:rPr>
        <w:t>～85</w:t>
      </w:r>
      <w:r>
        <w:t>％</w:t>
      </w:r>
      <w:r>
        <w:rPr>
          <w:rFonts w:hint="eastAsia"/>
        </w:rPr>
        <w:t>）</w:t>
      </w:r>
      <w:r>
        <w:t>，用</w:t>
      </w:r>
      <w:r>
        <w:rPr>
          <w:rFonts w:hint="eastAsia"/>
        </w:rPr>
        <w:t>蚂蚁防治药剂</w:t>
      </w:r>
      <w:r>
        <w:t>喷撒在苗床四周</w:t>
      </w:r>
      <w:r>
        <w:rPr>
          <w:rFonts w:hint="eastAsia"/>
        </w:rPr>
        <w:t>。</w:t>
      </w:r>
    </w:p>
    <w:p>
      <w:pPr>
        <w:pStyle w:val="166"/>
      </w:pPr>
      <w:r>
        <w:rPr>
          <w:rFonts w:hint="eastAsia"/>
        </w:rPr>
        <w:t>芽</w:t>
      </w:r>
      <w:r>
        <w:t>苗出土</w:t>
      </w:r>
      <w:r>
        <w:rPr>
          <w:rFonts w:hint="eastAsia"/>
        </w:rPr>
        <w:t>后保持苗床内温度不超过</w:t>
      </w:r>
      <w:r>
        <w:t>35</w:t>
      </w:r>
      <w:r>
        <w:rPr>
          <w:rFonts w:hint="eastAsia"/>
        </w:rPr>
        <w:t>℃。</w:t>
      </w:r>
    </w:p>
    <w:p>
      <w:pPr>
        <w:pStyle w:val="166"/>
      </w:pPr>
      <w:r>
        <w:rPr>
          <w:rFonts w:hint="eastAsia"/>
        </w:rPr>
        <w:t>小苗基本出土后，</w:t>
      </w:r>
      <w:r>
        <w:t>每</w:t>
      </w:r>
      <w:r>
        <w:rPr>
          <w:rFonts w:hint="eastAsia"/>
        </w:rPr>
        <w:t>隔</w:t>
      </w:r>
      <w:r>
        <w:t>5</w:t>
      </w:r>
      <w:r>
        <w:rPr>
          <w:vertAlign w:val="superscript"/>
        </w:rPr>
        <w:t> </w:t>
      </w:r>
      <w:r>
        <w:rPr>
          <w:rFonts w:hint="eastAsia"/>
        </w:rPr>
        <w:t>d～</w:t>
      </w:r>
      <w:r>
        <w:t>7</w:t>
      </w:r>
      <w:r>
        <w:rPr>
          <w:vertAlign w:val="superscript"/>
        </w:rPr>
        <w:t> </w:t>
      </w:r>
      <w:r>
        <w:rPr>
          <w:rFonts w:hint="eastAsia"/>
        </w:rPr>
        <w:t>d</w:t>
      </w:r>
      <w:r>
        <w:t>喷施</w:t>
      </w:r>
      <w:r>
        <w:rPr>
          <w:rFonts w:hint="eastAsia"/>
        </w:rPr>
        <w:t>药物</w:t>
      </w:r>
      <w:r>
        <w:t>防治</w:t>
      </w:r>
      <w:r>
        <w:rPr>
          <w:rFonts w:hint="eastAsia"/>
        </w:rPr>
        <w:t>根腐病。防治药物按DB45/T 1777—2018中的规定执行。</w:t>
      </w:r>
    </w:p>
    <w:p>
      <w:pPr>
        <w:pStyle w:val="166"/>
      </w:pPr>
      <w:r>
        <w:rPr>
          <w:rFonts w:hint="eastAsia"/>
        </w:rPr>
        <w:t>90</w:t>
      </w:r>
      <w:r>
        <w:t>％</w:t>
      </w:r>
      <w:r>
        <w:rPr>
          <w:rFonts w:hint="eastAsia"/>
        </w:rPr>
        <w:t>～95</w:t>
      </w:r>
      <w:r>
        <w:t>％</w:t>
      </w:r>
      <w:r>
        <w:rPr>
          <w:rFonts w:hint="eastAsia"/>
        </w:rPr>
        <w:t>的</w:t>
      </w:r>
      <w:r>
        <w:t>小苗长出2对叶片，去除薄膜和</w:t>
      </w:r>
      <w:r>
        <w:rPr>
          <w:rFonts w:hint="eastAsia"/>
        </w:rPr>
        <w:t>遮</w:t>
      </w:r>
      <w:r>
        <w:t>荫网，</w:t>
      </w:r>
      <w:r>
        <w:rPr>
          <w:rFonts w:hint="eastAsia"/>
        </w:rPr>
        <w:t>适时用</w:t>
      </w:r>
      <w:r>
        <w:t>喷雾器</w:t>
      </w:r>
      <w:r>
        <w:rPr>
          <w:rFonts w:hint="eastAsia"/>
        </w:rPr>
        <w:t>喷淋</w:t>
      </w:r>
      <w:r>
        <w:t>，保持苗床湿润。</w:t>
      </w:r>
    </w:p>
    <w:p>
      <w:pPr>
        <w:pStyle w:val="67"/>
        <w:spacing w:before="120" w:after="120"/>
      </w:pPr>
      <w:r>
        <w:rPr>
          <w:rFonts w:hint="eastAsia"/>
        </w:rPr>
        <w:t>移栽及管理</w:t>
      </w:r>
    </w:p>
    <w:p>
      <w:pPr>
        <w:pStyle w:val="96"/>
        <w:spacing w:before="120" w:after="120"/>
      </w:pPr>
      <w:r>
        <w:rPr>
          <w:rFonts w:hint="eastAsia"/>
        </w:rPr>
        <w:t>移栽基质的配置</w:t>
      </w:r>
    </w:p>
    <w:p>
      <w:pPr>
        <w:pStyle w:val="169"/>
      </w:pPr>
      <w:r>
        <w:t>黄心土：用95％黄心土+</w:t>
      </w:r>
      <w:r>
        <w:rPr>
          <w:rFonts w:hint="eastAsia"/>
        </w:rPr>
        <w:t>3</w:t>
      </w:r>
      <w:r>
        <w:t>％</w:t>
      </w:r>
      <w:r>
        <w:rPr>
          <w:rFonts w:hint="eastAsia"/>
        </w:rPr>
        <w:t>～5</w:t>
      </w:r>
      <w:r>
        <w:t>％的</w:t>
      </w:r>
      <w:r>
        <w:rPr>
          <w:rFonts w:hint="eastAsia"/>
        </w:rPr>
        <w:t>钙镁磷肥</w:t>
      </w:r>
      <w:r>
        <w:t>混合均匀。</w:t>
      </w:r>
    </w:p>
    <w:p>
      <w:pPr>
        <w:pStyle w:val="169"/>
      </w:pPr>
      <w:r>
        <w:t>轻型基质：椰糠</w:t>
      </w:r>
      <w:r>
        <w:rPr>
          <w:rFonts w:hint="eastAsia"/>
        </w:rPr>
        <w:t>:</w:t>
      </w:r>
      <w:r>
        <w:t>炭化谷壳</w:t>
      </w:r>
      <w:r>
        <w:rPr>
          <w:rFonts w:hint="eastAsia"/>
        </w:rPr>
        <w:t>:</w:t>
      </w:r>
      <w:r>
        <w:t>泥炭土</w:t>
      </w:r>
      <w:r>
        <w:rPr>
          <w:rFonts w:hint="eastAsia"/>
        </w:rPr>
        <w:t>:</w:t>
      </w:r>
      <w:r>
        <w:t>黄心土</w:t>
      </w:r>
      <w:r>
        <w:rPr>
          <w:rFonts w:hint="eastAsia"/>
        </w:rPr>
        <w:t>的比</w:t>
      </w:r>
      <w:r>
        <w:t>按重量5</w:t>
      </w:r>
      <w:r>
        <w:rPr>
          <w:rFonts w:hint="eastAsia"/>
        </w:rPr>
        <w:t>:3:</w:t>
      </w:r>
      <w:r>
        <w:t>2</w:t>
      </w:r>
      <w:r>
        <w:rPr>
          <w:rFonts w:hint="eastAsia"/>
        </w:rPr>
        <w:t>:</w:t>
      </w:r>
      <w:r>
        <w:t>0.5混合，加入钙镁磷肥4</w:t>
      </w:r>
      <w:r>
        <w:rPr>
          <w:rFonts w:hint="eastAsia" w:ascii="MS Mincho" w:hAnsi="MS Mincho" w:eastAsia="MS Mincho" w:cs="MS Mincho"/>
          <w:vertAlign w:val="superscript"/>
        </w:rPr>
        <w:t> </w:t>
      </w:r>
      <w:r>
        <w:t>kg/m</w:t>
      </w:r>
      <w:r>
        <w:rPr>
          <w:vertAlign w:val="superscript"/>
        </w:rPr>
        <w:t>3</w:t>
      </w:r>
      <w:r>
        <w:rPr>
          <w:rFonts w:hint="eastAsia"/>
        </w:rPr>
        <w:t>混匀，</w:t>
      </w:r>
      <w:r>
        <w:t>盖上薄膜堆沤一个月。</w:t>
      </w:r>
    </w:p>
    <w:p>
      <w:pPr>
        <w:pStyle w:val="96"/>
        <w:spacing w:before="120" w:after="120"/>
      </w:pPr>
      <w:r>
        <w:rPr>
          <w:rFonts w:hint="eastAsia"/>
        </w:rPr>
        <w:t>容器选择</w:t>
      </w:r>
    </w:p>
    <w:p>
      <w:pPr>
        <w:pStyle w:val="169"/>
      </w:pPr>
      <w:r>
        <w:t>黄心土育苗：</w:t>
      </w:r>
      <w:r>
        <w:rPr>
          <w:rFonts w:hint="eastAsia"/>
        </w:rPr>
        <w:t>宜采用薄膜或者无纺布制成的育苗容器，</w:t>
      </w:r>
      <w:r>
        <w:t>育苗容器</w:t>
      </w:r>
      <w:r>
        <w:rPr>
          <w:rFonts w:hint="eastAsia"/>
        </w:rPr>
        <w:t>的直径和高度</w:t>
      </w:r>
      <w:r>
        <w:t>规格</w:t>
      </w:r>
      <w:r>
        <w:rPr>
          <w:rFonts w:hint="eastAsia"/>
        </w:rPr>
        <w:t>：</w:t>
      </w:r>
      <w:r>
        <w:t>8</w:t>
      </w:r>
      <w:r>
        <w:rPr>
          <w:rFonts w:hint="eastAsia" w:ascii="MS Mincho" w:hAnsi="MS Mincho" w:eastAsia="MS Mincho" w:cs="MS Mincho"/>
          <w:vertAlign w:val="superscript"/>
        </w:rPr>
        <w:t> </w:t>
      </w:r>
      <w:r>
        <w:t>cm×12</w:t>
      </w:r>
      <w:r>
        <w:rPr>
          <w:rFonts w:hint="eastAsia" w:ascii="MS Mincho" w:hAnsi="MS Mincho" w:eastAsia="MS Mincho" w:cs="MS Mincho"/>
          <w:vertAlign w:val="superscript"/>
        </w:rPr>
        <w:t> </w:t>
      </w:r>
      <w:r>
        <w:t>cm、7.5</w:t>
      </w:r>
      <w:r>
        <w:rPr>
          <w:rFonts w:hint="eastAsia" w:ascii="MS Mincho" w:hAnsi="MS Mincho" w:eastAsia="MS Mincho" w:cs="MS Mincho"/>
          <w:vertAlign w:val="superscript"/>
        </w:rPr>
        <w:t> </w:t>
      </w:r>
      <w:r>
        <w:t>cm×11</w:t>
      </w:r>
      <w:r>
        <w:rPr>
          <w:rFonts w:hint="eastAsia" w:ascii="MS Mincho" w:hAnsi="MS Mincho" w:eastAsia="MS Mincho" w:cs="MS Mincho"/>
          <w:vertAlign w:val="superscript"/>
        </w:rPr>
        <w:t> </w:t>
      </w:r>
      <w:r>
        <w:t>cm或7</w:t>
      </w:r>
      <w:r>
        <w:rPr>
          <w:rFonts w:hint="eastAsia" w:ascii="MS Mincho" w:hAnsi="MS Mincho" w:eastAsia="MS Mincho" w:cs="MS Mincho"/>
          <w:vertAlign w:val="superscript"/>
        </w:rPr>
        <w:t> </w:t>
      </w:r>
      <w:r>
        <w:t>cm×11</w:t>
      </w:r>
      <w:r>
        <w:rPr>
          <w:rFonts w:hint="eastAsia" w:ascii="MS Mincho" w:hAnsi="MS Mincho" w:eastAsia="MS Mincho" w:cs="MS Mincho"/>
          <w:vertAlign w:val="superscript"/>
        </w:rPr>
        <w:t> </w:t>
      </w:r>
      <w:r>
        <w:t>cm</w:t>
      </w:r>
      <w:r>
        <w:rPr>
          <w:rFonts w:hint="eastAsia"/>
        </w:rPr>
        <w:t>。</w:t>
      </w:r>
    </w:p>
    <w:p>
      <w:pPr>
        <w:pStyle w:val="169"/>
      </w:pPr>
      <w:r>
        <w:t>轻</w:t>
      </w:r>
      <w:r>
        <w:rPr>
          <w:rFonts w:hint="eastAsia"/>
        </w:rPr>
        <w:t>型</w:t>
      </w:r>
      <w:r>
        <w:t>基质育苗：</w:t>
      </w:r>
      <w:r>
        <w:rPr>
          <w:rFonts w:hint="eastAsia"/>
        </w:rPr>
        <w:t>采用无纺布做成的基质柱，直径</w:t>
      </w:r>
      <w:r>
        <w:t>为3</w:t>
      </w:r>
      <w:r>
        <w:rPr>
          <w:rFonts w:hint="eastAsia" w:ascii="MS Mincho" w:hAnsi="MS Mincho" w:eastAsia="MS Mincho" w:cs="MS Mincho"/>
          <w:vertAlign w:val="superscript"/>
        </w:rPr>
        <w:t> </w:t>
      </w:r>
      <w:r>
        <w:t>cm～</w:t>
      </w:r>
      <w:r>
        <w:rPr>
          <w:rFonts w:hint="eastAsia"/>
        </w:rPr>
        <w:t>5</w:t>
      </w:r>
      <w:r>
        <w:rPr>
          <w:rFonts w:hint="eastAsia" w:ascii="MS Mincho" w:hAnsi="MS Mincho" w:eastAsia="MS Mincho" w:cs="MS Mincho"/>
          <w:vertAlign w:val="superscript"/>
        </w:rPr>
        <w:t> </w:t>
      </w:r>
      <w:r>
        <w:t>cm、长为7</w:t>
      </w:r>
      <w:r>
        <w:rPr>
          <w:rFonts w:hint="eastAsia" w:ascii="MS Mincho" w:hAnsi="MS Mincho" w:eastAsia="MS Mincho" w:cs="MS Mincho"/>
          <w:vertAlign w:val="superscript"/>
        </w:rPr>
        <w:t> </w:t>
      </w:r>
      <w:r>
        <w:t>cm～</w:t>
      </w:r>
      <w:r>
        <w:rPr>
          <w:rFonts w:hint="eastAsia"/>
        </w:rPr>
        <w:t>9</w:t>
      </w:r>
      <w:r>
        <w:rPr>
          <w:rFonts w:hint="eastAsia" w:ascii="MS Mincho" w:hAnsi="MS Mincho" w:eastAsia="MS Mincho" w:cs="MS Mincho"/>
          <w:vertAlign w:val="superscript"/>
        </w:rPr>
        <w:t> </w:t>
      </w:r>
      <w:r>
        <w:t>cm</w:t>
      </w:r>
      <w:r>
        <w:rPr>
          <w:rFonts w:hint="eastAsia"/>
        </w:rPr>
        <w:t>。</w:t>
      </w:r>
    </w:p>
    <w:p>
      <w:pPr>
        <w:pStyle w:val="67"/>
        <w:spacing w:before="120" w:after="120"/>
      </w:pPr>
      <w:r>
        <w:rPr>
          <w:rFonts w:hint="eastAsia"/>
        </w:rPr>
        <w:t>小苗移栽</w:t>
      </w:r>
    </w:p>
    <w:p>
      <w:pPr>
        <w:pStyle w:val="166"/>
      </w:pPr>
      <w:r>
        <w:rPr>
          <w:rFonts w:hint="eastAsia"/>
        </w:rPr>
        <w:t>小苗</w:t>
      </w:r>
      <w:r>
        <w:t>长出</w:t>
      </w:r>
      <w:r>
        <w:rPr>
          <w:rFonts w:hint="eastAsia"/>
        </w:rPr>
        <w:t>2对</w:t>
      </w:r>
      <w:r>
        <w:t>～3对叶片、苗高为3</w:t>
      </w:r>
      <w:r>
        <w:rPr>
          <w:vertAlign w:val="superscript"/>
        </w:rPr>
        <w:t> </w:t>
      </w:r>
      <w:r>
        <w:t>cm</w:t>
      </w:r>
      <w:r>
        <w:rPr>
          <w:vertAlign w:val="superscript"/>
        </w:rPr>
        <w:t xml:space="preserve"> </w:t>
      </w:r>
      <w:r>
        <w:t>～4</w:t>
      </w:r>
      <w:r>
        <w:rPr>
          <w:vertAlign w:val="superscript"/>
        </w:rPr>
        <w:t> </w:t>
      </w:r>
      <w:r>
        <w:t>cm时移栽。</w:t>
      </w:r>
    </w:p>
    <w:p>
      <w:pPr>
        <w:pStyle w:val="166"/>
      </w:pPr>
      <w:r>
        <w:t>移苗前一天用0.</w:t>
      </w:r>
      <w:r>
        <w:rPr>
          <w:rFonts w:hint="eastAsia"/>
        </w:rPr>
        <w:t>5</w:t>
      </w:r>
      <w:r>
        <w:t>％KMnO</w:t>
      </w:r>
      <w:r>
        <w:rPr>
          <w:vertAlign w:val="subscript"/>
        </w:rPr>
        <w:t>4</w:t>
      </w:r>
      <w:r>
        <w:rPr>
          <w:rFonts w:hint="eastAsia"/>
        </w:rPr>
        <w:t>溶液</w:t>
      </w:r>
      <w:r>
        <w:t>对基质进行消毒，移栽前再用清水淋透基质。</w:t>
      </w:r>
    </w:p>
    <w:p>
      <w:pPr>
        <w:pStyle w:val="166"/>
      </w:pPr>
      <w:r>
        <w:rPr>
          <w:rFonts w:hint="eastAsia"/>
        </w:rPr>
        <w:t>起苗前将苗床淋湿，</w:t>
      </w:r>
      <w:r>
        <w:t>选择健壮苗分批</w:t>
      </w:r>
      <w:r>
        <w:rPr>
          <w:rFonts w:hint="eastAsia"/>
        </w:rPr>
        <w:t>取</w:t>
      </w:r>
      <w:r>
        <w:t>出，将小苗整齐放入装有少量水的容器内，</w:t>
      </w:r>
      <w:r>
        <w:rPr>
          <w:rFonts w:hint="eastAsia"/>
        </w:rPr>
        <w:t>随起随栽，移栽前事先在基质中央打</w:t>
      </w:r>
      <w:r>
        <w:t>一小孔穴，将小苗</w:t>
      </w:r>
      <w:r>
        <w:rPr>
          <w:rFonts w:hint="eastAsia"/>
        </w:rPr>
        <w:t>植</w:t>
      </w:r>
      <w:r>
        <w:t>入小孔穴内，压实</w:t>
      </w:r>
      <w:r>
        <w:rPr>
          <w:rFonts w:hint="eastAsia"/>
        </w:rPr>
        <w:t>基质</w:t>
      </w:r>
      <w:r>
        <w:t>，淋透定根水</w:t>
      </w:r>
      <w:r>
        <w:rPr>
          <w:rFonts w:hint="eastAsia"/>
        </w:rPr>
        <w:t>。</w:t>
      </w:r>
    </w:p>
    <w:p>
      <w:pPr>
        <w:pStyle w:val="166"/>
      </w:pPr>
      <w:r>
        <w:rPr>
          <w:rFonts w:hint="eastAsia"/>
        </w:rPr>
        <w:t>小苗移栽宜在早上、傍晚或阴天进行。</w:t>
      </w:r>
    </w:p>
    <w:p>
      <w:pPr>
        <w:pStyle w:val="67"/>
        <w:spacing w:before="120" w:after="120"/>
      </w:pPr>
      <w:r>
        <w:rPr>
          <w:rFonts w:hint="eastAsia"/>
        </w:rPr>
        <w:t>移栽后管理</w:t>
      </w:r>
    </w:p>
    <w:p>
      <w:pPr>
        <w:pStyle w:val="96"/>
        <w:spacing w:before="120" w:after="120"/>
      </w:pPr>
      <w:r>
        <w:rPr>
          <w:rFonts w:hint="eastAsia"/>
        </w:rPr>
        <w:t>水分管理</w:t>
      </w:r>
    </w:p>
    <w:p>
      <w:pPr>
        <w:pStyle w:val="58"/>
        <w:ind w:firstLine="420"/>
        <w:rPr>
          <w:rFonts w:hAnsi="宋体" w:cs="宋体"/>
        </w:rPr>
      </w:pPr>
      <w:r>
        <w:rPr>
          <w:rFonts w:hint="eastAsia"/>
        </w:rPr>
        <w:t>移苗后用铁线或竹片做拱，</w:t>
      </w:r>
      <w:r>
        <w:t>盖上薄膜和</w:t>
      </w:r>
      <w:r>
        <w:rPr>
          <w:rFonts w:hint="eastAsia"/>
        </w:rPr>
        <w:t>遮</w:t>
      </w:r>
      <w:r>
        <w:t>荫网</w:t>
      </w:r>
      <w:r>
        <w:rPr>
          <w:rFonts w:hint="eastAsia"/>
        </w:rPr>
        <w:t>（遮光度75％～85</w:t>
      </w:r>
      <w:r>
        <w:t>％</w:t>
      </w:r>
      <w:r>
        <w:rPr>
          <w:rFonts w:hint="eastAsia"/>
        </w:rPr>
        <w:t>），</w:t>
      </w:r>
      <w:r>
        <w:rPr>
          <w:rFonts w:hint="eastAsia" w:hAnsi="宋体" w:cs="宋体"/>
        </w:rPr>
        <w:t>移栽15</w:t>
      </w:r>
      <w:r>
        <w:rPr>
          <w:rFonts w:hAnsi="宋体" w:cs="宋体"/>
          <w:vertAlign w:val="superscript"/>
        </w:rPr>
        <w:t> </w:t>
      </w:r>
      <w:r>
        <w:rPr>
          <w:rFonts w:hint="eastAsia" w:hAnsi="宋体" w:cs="宋体"/>
        </w:rPr>
        <w:t>d后，逐渐去除薄膜和遮荫网，及时淋水保持基质的湿润。</w:t>
      </w:r>
    </w:p>
    <w:p>
      <w:pPr>
        <w:pStyle w:val="96"/>
        <w:spacing w:before="120" w:after="120"/>
      </w:pPr>
      <w:r>
        <w:rPr>
          <w:rFonts w:hint="eastAsia"/>
        </w:rPr>
        <w:t>施肥</w:t>
      </w:r>
    </w:p>
    <w:p>
      <w:pPr>
        <w:pStyle w:val="58"/>
        <w:ind w:firstLine="420"/>
      </w:pPr>
      <w:r>
        <w:rPr>
          <w:rFonts w:hint="eastAsia" w:cs="宋体"/>
        </w:rPr>
        <w:t>移</w:t>
      </w:r>
      <w:r>
        <w:t>栽后10</w:t>
      </w:r>
      <w:r>
        <w:rPr>
          <w:vertAlign w:val="superscript"/>
        </w:rPr>
        <w:t> </w:t>
      </w:r>
      <w:r>
        <w:rPr>
          <w:rFonts w:hint="eastAsia"/>
        </w:rPr>
        <w:t>d</w:t>
      </w:r>
      <w:r>
        <w:t>～15</w:t>
      </w:r>
      <w:r>
        <w:rPr>
          <w:vertAlign w:val="superscript"/>
        </w:rPr>
        <w:t> </w:t>
      </w:r>
      <w:r>
        <w:rPr>
          <w:rFonts w:hint="eastAsia"/>
        </w:rPr>
        <w:t>d，</w:t>
      </w:r>
      <w:r>
        <w:t>用0.05％～0.1％营养</w:t>
      </w:r>
      <w:r>
        <w:rPr>
          <w:rFonts w:hint="eastAsia"/>
        </w:rPr>
        <w:t>型</w:t>
      </w:r>
      <w:r>
        <w:t>叶面肥溶液</w:t>
      </w:r>
      <w:r>
        <w:rPr>
          <w:rFonts w:hint="eastAsia"/>
        </w:rPr>
        <w:t>喷施</w:t>
      </w:r>
      <w:r>
        <w:t>，</w:t>
      </w:r>
      <w:r>
        <w:rPr>
          <w:rFonts w:hint="eastAsia"/>
        </w:rPr>
        <w:t>之</w:t>
      </w:r>
      <w:r>
        <w:t>后每7</w:t>
      </w:r>
      <w:r>
        <w:rPr>
          <w:vertAlign w:val="superscript"/>
        </w:rPr>
        <w:t> </w:t>
      </w:r>
      <w:r>
        <w:rPr>
          <w:rFonts w:hint="eastAsia"/>
        </w:rPr>
        <w:t>d</w:t>
      </w:r>
      <w:r>
        <w:t>～15</w:t>
      </w:r>
      <w:r>
        <w:rPr>
          <w:vertAlign w:val="superscript"/>
        </w:rPr>
        <w:t> </w:t>
      </w:r>
      <w:r>
        <w:rPr>
          <w:rFonts w:hint="eastAsia"/>
        </w:rPr>
        <w:t>d，</w:t>
      </w:r>
      <w:r>
        <w:t>用0.1％～0.5％的复合肥</w:t>
      </w:r>
      <w:r>
        <w:rPr>
          <w:rFonts w:hint="eastAsia"/>
        </w:rPr>
        <w:t>（N+P</w:t>
      </w:r>
      <w:r>
        <w:rPr>
          <w:rFonts w:hint="eastAsia"/>
          <w:vertAlign w:val="subscript"/>
        </w:rPr>
        <w:t>2</w:t>
      </w:r>
      <w:r>
        <w:rPr>
          <w:rFonts w:hint="eastAsia"/>
        </w:rPr>
        <w:t>O</w:t>
      </w:r>
      <w:r>
        <w:rPr>
          <w:rFonts w:hint="eastAsia"/>
          <w:vertAlign w:val="subscript"/>
        </w:rPr>
        <w:t xml:space="preserve">5 </w:t>
      </w:r>
      <w:r>
        <w:rPr>
          <w:rFonts w:hint="eastAsia"/>
        </w:rPr>
        <w:t>+K</w:t>
      </w:r>
      <w:r>
        <w:rPr>
          <w:rFonts w:hint="eastAsia"/>
          <w:vertAlign w:val="subscript"/>
        </w:rPr>
        <w:t>2</w:t>
      </w:r>
      <w:r>
        <w:rPr>
          <w:rFonts w:hint="eastAsia"/>
        </w:rPr>
        <w:t>O≥45％）</w:t>
      </w:r>
      <w:r>
        <w:t>溶液</w:t>
      </w:r>
      <w:r>
        <w:rPr>
          <w:rFonts w:hint="eastAsia"/>
        </w:rPr>
        <w:t>喷施</w:t>
      </w:r>
      <w:r>
        <w:t>，按先稀后浓的原则</w:t>
      </w:r>
      <w:r>
        <w:rPr>
          <w:rFonts w:hint="eastAsia"/>
        </w:rPr>
        <w:t>。</w:t>
      </w:r>
      <w:r>
        <w:t>施肥后应及时淋清水洗苗（喷施叶面肥除外）。</w:t>
      </w:r>
    </w:p>
    <w:p>
      <w:pPr>
        <w:pStyle w:val="96"/>
        <w:spacing w:before="120" w:after="120"/>
      </w:pPr>
      <w:r>
        <w:rPr>
          <w:rFonts w:hint="eastAsia"/>
        </w:rPr>
        <w:t>光照管理</w:t>
      </w:r>
    </w:p>
    <w:p>
      <w:pPr>
        <w:pStyle w:val="58"/>
        <w:ind w:firstLine="420"/>
        <w:rPr>
          <w:rFonts w:hAnsi="宋体"/>
          <w:color w:val="000000"/>
          <w:szCs w:val="21"/>
        </w:rPr>
      </w:pPr>
      <w:r>
        <w:rPr>
          <w:rFonts w:hint="eastAsia"/>
        </w:rPr>
        <w:t>小苗大量生根后，</w:t>
      </w:r>
      <w:r>
        <w:rPr>
          <w:rFonts w:hint="eastAsia" w:hAnsi="宋体"/>
          <w:color w:val="000000"/>
          <w:szCs w:val="21"/>
        </w:rPr>
        <w:t>揭开荫网露天培养。</w:t>
      </w:r>
    </w:p>
    <w:p>
      <w:pPr>
        <w:pStyle w:val="96"/>
        <w:spacing w:before="120" w:after="120"/>
      </w:pPr>
      <w:r>
        <w:rPr>
          <w:rFonts w:hint="eastAsia"/>
        </w:rPr>
        <w:t>除草</w:t>
      </w:r>
    </w:p>
    <w:p>
      <w:pPr>
        <w:pStyle w:val="58"/>
        <w:ind w:firstLine="420"/>
      </w:pPr>
      <w:r>
        <w:rPr>
          <w:rFonts w:hint="eastAsia"/>
        </w:rPr>
        <w:t>以“除早、除小、除了”为原则，采用人工除草。</w:t>
      </w:r>
    </w:p>
    <w:p>
      <w:pPr>
        <w:pStyle w:val="96"/>
        <w:spacing w:before="120" w:after="120"/>
      </w:pPr>
      <w:r>
        <w:rPr>
          <w:rFonts w:hint="eastAsia"/>
        </w:rPr>
        <w:t>分级摆放和管理</w:t>
      </w:r>
    </w:p>
    <w:p>
      <w:pPr>
        <w:pStyle w:val="58"/>
        <w:ind w:firstLine="420"/>
      </w:pPr>
      <w:r>
        <w:rPr>
          <w:rFonts w:hint="eastAsia"/>
        </w:rPr>
        <w:t>平均苗高10</w:t>
      </w:r>
      <w:r>
        <w:rPr>
          <w:vertAlign w:val="superscript"/>
        </w:rPr>
        <w:t> </w:t>
      </w:r>
      <w:r>
        <w:rPr>
          <w:rFonts w:hint="eastAsia"/>
        </w:rPr>
        <w:t>cm</w:t>
      </w:r>
      <w:r>
        <w:rPr>
          <w:color w:val="000000"/>
          <w:szCs w:val="21"/>
        </w:rPr>
        <w:t>～</w:t>
      </w:r>
      <w:r>
        <w:rPr>
          <w:rFonts w:hint="eastAsia"/>
        </w:rPr>
        <w:t>15</w:t>
      </w:r>
      <w:r>
        <w:rPr>
          <w:vertAlign w:val="superscript"/>
        </w:rPr>
        <w:t> </w:t>
      </w:r>
      <w:r>
        <w:rPr>
          <w:rFonts w:hint="eastAsia"/>
        </w:rPr>
        <w:t>cm时进行分级，按高至低横向摆放于同一苗床上或按高低分床摆放，对长势弱的苗木增加施肥1次</w:t>
      </w:r>
      <w:r>
        <w:rPr>
          <w:color w:val="000000"/>
          <w:szCs w:val="21"/>
        </w:rPr>
        <w:t>～</w:t>
      </w:r>
      <w:r>
        <w:rPr>
          <w:rFonts w:hint="eastAsia"/>
        </w:rPr>
        <w:t>2次。</w:t>
      </w:r>
    </w:p>
    <w:p>
      <w:pPr>
        <w:pStyle w:val="107"/>
        <w:spacing w:before="120" w:after="120"/>
      </w:pPr>
      <w:r>
        <w:rPr>
          <w:rFonts w:hint="eastAsia"/>
        </w:rPr>
        <w:t>扦插育苗</w:t>
      </w:r>
    </w:p>
    <w:p>
      <w:pPr>
        <w:pStyle w:val="67"/>
        <w:spacing w:before="120" w:after="120"/>
      </w:pPr>
      <w:r>
        <w:rPr>
          <w:rFonts w:hint="eastAsia"/>
        </w:rPr>
        <w:t>材料来源</w:t>
      </w:r>
    </w:p>
    <w:p>
      <w:pPr>
        <w:pStyle w:val="58"/>
        <w:ind w:firstLine="420"/>
      </w:pPr>
      <w:r>
        <w:rPr>
          <w:rFonts w:hint="eastAsia"/>
        </w:rPr>
        <w:t>穗条母树应采自省级以上审（认）定良种的无性系组培苗。</w:t>
      </w:r>
    </w:p>
    <w:p>
      <w:pPr>
        <w:pStyle w:val="67"/>
        <w:spacing w:before="120" w:after="120"/>
      </w:pPr>
      <w:r>
        <w:rPr>
          <w:rFonts w:hint="eastAsia"/>
        </w:rPr>
        <w:t>采穗母株栽培与管理</w:t>
      </w:r>
    </w:p>
    <w:p>
      <w:pPr>
        <w:pStyle w:val="96"/>
        <w:spacing w:before="120" w:after="120"/>
      </w:pPr>
      <w:r>
        <w:rPr>
          <w:rFonts w:hint="eastAsia"/>
        </w:rPr>
        <w:t>采穗圃选择与整地</w:t>
      </w:r>
    </w:p>
    <w:p>
      <w:pPr>
        <w:pStyle w:val="58"/>
        <w:ind w:firstLine="420"/>
        <w:rPr>
          <w:rFonts w:hAnsi="宋体" w:cs="宋体"/>
          <w:color w:val="000000"/>
          <w:szCs w:val="21"/>
        </w:rPr>
      </w:pPr>
      <w:r>
        <w:rPr>
          <w:rFonts w:hint="eastAsia" w:hAnsi="宋体" w:cs="宋体"/>
          <w:color w:val="000000"/>
          <w:szCs w:val="21"/>
        </w:rPr>
        <w:t>采穗圃地最好选择生荒坡地，或清洁卫生且不被水淹的平地，土壤质地以酸性壤土、轻粘壤为好。采用人工翻挖或机械翻犁整地，充分曝晒后撒生石灰1200</w:t>
      </w:r>
      <w:r>
        <w:rPr>
          <w:rFonts w:hint="eastAsia" w:hAnsi="宋体" w:cs="宋体"/>
          <w:color w:val="000000"/>
          <w:szCs w:val="21"/>
          <w:vertAlign w:val="superscript"/>
        </w:rPr>
        <w:t xml:space="preserve"> </w:t>
      </w:r>
      <w:r>
        <w:rPr>
          <w:rFonts w:hint="eastAsia" w:hAnsi="宋体" w:cs="宋体"/>
          <w:color w:val="000000"/>
          <w:szCs w:val="21"/>
        </w:rPr>
        <w:t>kg/hm</w:t>
      </w:r>
      <w:r>
        <w:rPr>
          <w:rFonts w:hint="eastAsia" w:hAnsi="宋体" w:cs="宋体"/>
          <w:color w:val="000000"/>
          <w:szCs w:val="21"/>
          <w:vertAlign w:val="superscript"/>
        </w:rPr>
        <w:t>2</w:t>
      </w:r>
      <w:r>
        <w:rPr>
          <w:rFonts w:hint="eastAsia" w:hAnsi="宋体" w:cs="宋体"/>
          <w:color w:val="000000"/>
          <w:szCs w:val="21"/>
        </w:rPr>
        <w:t>灭菌。根据圃地地下害虫种类施放农药。同时施放钙镁磷肥750</w:t>
      </w:r>
      <w:r>
        <w:rPr>
          <w:rFonts w:hint="eastAsia" w:hAnsi="宋体" w:cs="宋体"/>
          <w:color w:val="000000"/>
          <w:szCs w:val="21"/>
          <w:vertAlign w:val="superscript"/>
        </w:rPr>
        <w:t xml:space="preserve"> </w:t>
      </w:r>
      <w:r>
        <w:rPr>
          <w:rFonts w:hint="eastAsia" w:hAnsi="宋体" w:cs="宋体"/>
          <w:color w:val="000000"/>
          <w:szCs w:val="21"/>
        </w:rPr>
        <w:t>kg/hm</w:t>
      </w:r>
      <w:r>
        <w:rPr>
          <w:rFonts w:hint="eastAsia" w:hAnsi="宋体" w:cs="宋体"/>
          <w:color w:val="000000"/>
          <w:szCs w:val="21"/>
          <w:vertAlign w:val="superscript"/>
        </w:rPr>
        <w:t>2</w:t>
      </w:r>
      <w:r>
        <w:rPr>
          <w:rFonts w:hint="eastAsia" w:hAnsi="宋体" w:cs="宋体"/>
          <w:color w:val="000000"/>
          <w:szCs w:val="21"/>
        </w:rPr>
        <w:t>、复合肥300</w:t>
      </w:r>
      <w:r>
        <w:rPr>
          <w:rFonts w:hint="eastAsia" w:hAnsi="宋体" w:cs="宋体"/>
          <w:color w:val="000000"/>
          <w:szCs w:val="21"/>
          <w:vertAlign w:val="superscript"/>
        </w:rPr>
        <w:t xml:space="preserve"> </w:t>
      </w:r>
      <w:r>
        <w:rPr>
          <w:rFonts w:hint="eastAsia" w:hAnsi="宋体" w:cs="宋体"/>
          <w:color w:val="000000"/>
          <w:szCs w:val="21"/>
        </w:rPr>
        <w:t>kg/hm</w:t>
      </w:r>
      <w:r>
        <w:rPr>
          <w:rFonts w:hint="eastAsia" w:hAnsi="宋体" w:cs="宋体"/>
          <w:color w:val="000000"/>
          <w:szCs w:val="21"/>
          <w:vertAlign w:val="superscript"/>
        </w:rPr>
        <w:t>2</w:t>
      </w:r>
      <w:r>
        <w:rPr>
          <w:rFonts w:hint="eastAsia" w:hAnsi="宋体" w:cs="宋体"/>
          <w:color w:val="000000"/>
          <w:szCs w:val="21"/>
        </w:rPr>
        <w:t>和硼砂100</w:t>
      </w:r>
      <w:r>
        <w:rPr>
          <w:rFonts w:hint="eastAsia" w:hAnsi="宋体" w:cs="宋体"/>
          <w:color w:val="000000"/>
          <w:szCs w:val="21"/>
          <w:vertAlign w:val="superscript"/>
        </w:rPr>
        <w:t xml:space="preserve"> </w:t>
      </w:r>
      <w:r>
        <w:rPr>
          <w:rFonts w:hint="eastAsia" w:hAnsi="宋体" w:cs="宋体"/>
          <w:color w:val="000000"/>
          <w:szCs w:val="21"/>
        </w:rPr>
        <w:t>kg/hm</w:t>
      </w:r>
      <w:r>
        <w:rPr>
          <w:rFonts w:hint="eastAsia" w:hAnsi="宋体" w:cs="宋体"/>
          <w:color w:val="000000"/>
          <w:szCs w:val="21"/>
          <w:vertAlign w:val="superscript"/>
        </w:rPr>
        <w:t>2</w:t>
      </w:r>
      <w:r>
        <w:rPr>
          <w:rFonts w:hint="eastAsia" w:hAnsi="宋体" w:cs="宋体"/>
          <w:color w:val="000000"/>
          <w:szCs w:val="21"/>
        </w:rPr>
        <w:t>作基肥。粉碎土块，清除杂草根、石块，挖沟作床，苗床宽1.2</w:t>
      </w:r>
      <w:r>
        <w:rPr>
          <w:rFonts w:hint="eastAsia" w:hAnsi="宋体" w:cs="宋体"/>
          <w:color w:val="000000"/>
          <w:szCs w:val="21"/>
          <w:vertAlign w:val="superscript"/>
        </w:rPr>
        <w:t xml:space="preserve"> </w:t>
      </w:r>
      <w:r>
        <w:rPr>
          <w:rFonts w:hint="eastAsia" w:hAnsi="宋体" w:cs="宋体"/>
          <w:color w:val="000000"/>
          <w:szCs w:val="21"/>
        </w:rPr>
        <w:t>m、高15</w:t>
      </w:r>
      <w:r>
        <w:rPr>
          <w:rFonts w:hint="eastAsia" w:hAnsi="宋体" w:cs="宋体"/>
          <w:color w:val="000000"/>
          <w:szCs w:val="21"/>
          <w:vertAlign w:val="superscript"/>
        </w:rPr>
        <w:t xml:space="preserve"> </w:t>
      </w:r>
      <w:r>
        <w:rPr>
          <w:rFonts w:hint="eastAsia" w:hAnsi="宋体" w:cs="宋体"/>
          <w:color w:val="000000"/>
          <w:szCs w:val="21"/>
        </w:rPr>
        <w:t>cm～20</w:t>
      </w:r>
      <w:r>
        <w:rPr>
          <w:rFonts w:hint="eastAsia" w:hAnsi="宋体" w:cs="宋体"/>
          <w:color w:val="000000"/>
          <w:szCs w:val="21"/>
          <w:vertAlign w:val="superscript"/>
        </w:rPr>
        <w:t xml:space="preserve"> </w:t>
      </w:r>
      <w:r>
        <w:rPr>
          <w:rFonts w:hint="eastAsia" w:hAnsi="宋体" w:cs="宋体"/>
          <w:color w:val="000000"/>
          <w:szCs w:val="21"/>
        </w:rPr>
        <w:t>cm。</w:t>
      </w:r>
    </w:p>
    <w:p>
      <w:pPr>
        <w:pStyle w:val="96"/>
        <w:spacing w:before="120" w:after="120"/>
      </w:pPr>
      <w:r>
        <w:rPr>
          <w:rFonts w:hint="eastAsia"/>
        </w:rPr>
        <w:t>母株栽植</w:t>
      </w:r>
    </w:p>
    <w:p>
      <w:pPr>
        <w:pStyle w:val="58"/>
        <w:ind w:firstLine="420"/>
        <w:rPr>
          <w:rFonts w:hAnsi="宋体" w:cs="宋体"/>
          <w:color w:val="000000"/>
          <w:szCs w:val="21"/>
        </w:rPr>
      </w:pPr>
      <w:r>
        <w:rPr>
          <w:rFonts w:hint="eastAsia" w:hAnsi="宋体" w:cs="宋体"/>
          <w:color w:val="000000"/>
          <w:szCs w:val="21"/>
        </w:rPr>
        <w:t>种植株距15</w:t>
      </w:r>
      <w:r>
        <w:rPr>
          <w:rFonts w:hint="eastAsia" w:hAnsi="宋体" w:cs="宋体"/>
          <w:color w:val="000000"/>
          <w:szCs w:val="21"/>
          <w:vertAlign w:val="superscript"/>
        </w:rPr>
        <w:t xml:space="preserve"> </w:t>
      </w:r>
      <w:r>
        <w:rPr>
          <w:rFonts w:hint="eastAsia" w:hAnsi="宋体" w:cs="宋体"/>
          <w:color w:val="000000"/>
          <w:szCs w:val="21"/>
        </w:rPr>
        <w:t>cm～20</w:t>
      </w:r>
      <w:r>
        <w:rPr>
          <w:rFonts w:hint="eastAsia" w:hAnsi="宋体" w:cs="宋体"/>
          <w:color w:val="000000"/>
          <w:szCs w:val="21"/>
          <w:vertAlign w:val="superscript"/>
        </w:rPr>
        <w:t xml:space="preserve"> </w:t>
      </w:r>
      <w:r>
        <w:rPr>
          <w:rFonts w:hint="eastAsia" w:hAnsi="宋体" w:cs="宋体"/>
          <w:color w:val="000000"/>
          <w:szCs w:val="21"/>
        </w:rPr>
        <w:t>cm、行距12</w:t>
      </w:r>
      <w:r>
        <w:rPr>
          <w:rFonts w:hint="eastAsia" w:hAnsi="宋体" w:cs="宋体"/>
          <w:color w:val="000000"/>
          <w:szCs w:val="21"/>
          <w:vertAlign w:val="superscript"/>
        </w:rPr>
        <w:t xml:space="preserve"> </w:t>
      </w:r>
      <w:r>
        <w:rPr>
          <w:rFonts w:hint="eastAsia" w:hAnsi="宋体" w:cs="宋体"/>
          <w:color w:val="000000"/>
          <w:szCs w:val="21"/>
        </w:rPr>
        <w:t>cm～25</w:t>
      </w:r>
      <w:r>
        <w:rPr>
          <w:rFonts w:hint="eastAsia" w:hAnsi="宋体" w:cs="宋体"/>
          <w:color w:val="000000"/>
          <w:szCs w:val="21"/>
          <w:vertAlign w:val="superscript"/>
        </w:rPr>
        <w:t xml:space="preserve"> </w:t>
      </w:r>
      <w:r>
        <w:rPr>
          <w:rFonts w:hint="eastAsia" w:hAnsi="宋体" w:cs="宋体"/>
          <w:color w:val="000000"/>
          <w:szCs w:val="21"/>
        </w:rPr>
        <w:t>cm，栽植时做到苗正根伸，细土壅根，栽植完毕及时施一次定根水。</w:t>
      </w:r>
    </w:p>
    <w:p>
      <w:pPr>
        <w:pStyle w:val="96"/>
        <w:spacing w:before="120" w:after="120"/>
      </w:pPr>
      <w:r>
        <w:rPr>
          <w:rFonts w:hint="eastAsia"/>
        </w:rPr>
        <w:t>母株截顶及修剪</w:t>
      </w:r>
    </w:p>
    <w:p>
      <w:pPr>
        <w:pStyle w:val="169"/>
      </w:pPr>
      <w:r>
        <w:rPr>
          <w:rFonts w:hint="eastAsia"/>
        </w:rPr>
        <w:t>采穗母株栽植后1周～2周，苗木生长稳定后，剪去顶稍，苗桩高7</w:t>
      </w:r>
      <w:r>
        <w:rPr>
          <w:rFonts w:hint="eastAsia"/>
          <w:vertAlign w:val="superscript"/>
        </w:rPr>
        <w:t xml:space="preserve"> </w:t>
      </w:r>
      <w:r>
        <w:rPr>
          <w:rFonts w:hint="eastAsia"/>
        </w:rPr>
        <w:t>cm～10</w:t>
      </w:r>
      <w:r>
        <w:rPr>
          <w:rFonts w:hint="eastAsia"/>
          <w:vertAlign w:val="superscript"/>
        </w:rPr>
        <w:t xml:space="preserve"> </w:t>
      </w:r>
      <w:r>
        <w:rPr>
          <w:rFonts w:hint="eastAsia"/>
        </w:rPr>
        <w:t>cm，桩上保留2对以上的叶片。</w:t>
      </w:r>
    </w:p>
    <w:p>
      <w:pPr>
        <w:pStyle w:val="169"/>
      </w:pPr>
      <w:r>
        <w:rPr>
          <w:rFonts w:hint="eastAsia"/>
        </w:rPr>
        <w:t>结合穗条采集对母株进行修剪，对徒长枝、病芽、病叶、弱小芽等应经常性修剪。如果长时间不采集穗条，也要定期对母株进行修剪。</w:t>
      </w:r>
    </w:p>
    <w:p>
      <w:pPr>
        <w:pStyle w:val="96"/>
        <w:spacing w:before="120" w:after="120"/>
      </w:pPr>
      <w:r>
        <w:rPr>
          <w:rFonts w:hint="eastAsia"/>
        </w:rPr>
        <w:t>母株水肥管理</w:t>
      </w:r>
    </w:p>
    <w:p>
      <w:pPr>
        <w:pStyle w:val="58"/>
        <w:ind w:firstLine="420"/>
        <w:rPr>
          <w:rFonts w:hAnsi="宋体" w:cs="宋体"/>
          <w:color w:val="000000"/>
          <w:szCs w:val="21"/>
        </w:rPr>
      </w:pPr>
      <w:r>
        <w:rPr>
          <w:rFonts w:hint="eastAsia" w:hAnsi="宋体" w:cs="宋体"/>
          <w:color w:val="000000"/>
          <w:szCs w:val="21"/>
        </w:rPr>
        <w:t>截顶后当萌条生长到1</w:t>
      </w:r>
      <w:r>
        <w:rPr>
          <w:rFonts w:hint="eastAsia" w:hAnsi="宋体" w:cs="宋体"/>
          <w:color w:val="000000"/>
          <w:szCs w:val="21"/>
          <w:vertAlign w:val="superscript"/>
        </w:rPr>
        <w:t xml:space="preserve"> </w:t>
      </w:r>
      <w:r>
        <w:rPr>
          <w:rFonts w:hint="eastAsia" w:hAnsi="宋体" w:cs="宋体"/>
          <w:color w:val="000000"/>
          <w:szCs w:val="21"/>
        </w:rPr>
        <w:t>cm～2</w:t>
      </w:r>
      <w:r>
        <w:rPr>
          <w:rFonts w:hint="eastAsia" w:hAnsi="宋体" w:cs="宋体"/>
          <w:color w:val="000000"/>
          <w:szCs w:val="21"/>
          <w:vertAlign w:val="superscript"/>
        </w:rPr>
        <w:t xml:space="preserve"> </w:t>
      </w:r>
      <w:r>
        <w:rPr>
          <w:rFonts w:hint="eastAsia" w:hAnsi="宋体" w:cs="宋体"/>
          <w:color w:val="000000"/>
          <w:szCs w:val="21"/>
        </w:rPr>
        <w:t>cm时应及时追肥，施用桉树专用肥，施肥次数及用量视苗木生长状况而定。水份管理视土壤干湿决定，干旱季需人工浇水，保持土壤湿润。</w:t>
      </w:r>
    </w:p>
    <w:p>
      <w:pPr>
        <w:pStyle w:val="96"/>
        <w:spacing w:before="120" w:after="120"/>
      </w:pPr>
      <w:r>
        <w:rPr>
          <w:rFonts w:hint="eastAsia"/>
        </w:rPr>
        <w:t>穗条选取、采集及处理</w:t>
      </w:r>
    </w:p>
    <w:p>
      <w:pPr>
        <w:pStyle w:val="58"/>
        <w:ind w:firstLine="420"/>
        <w:rPr>
          <w:rFonts w:hAnsi="宋体" w:cs="宋体"/>
          <w:color w:val="000000"/>
          <w:szCs w:val="21"/>
        </w:rPr>
      </w:pPr>
      <w:r>
        <w:rPr>
          <w:rFonts w:hint="eastAsia" w:hAnsi="宋体" w:cs="宋体"/>
          <w:color w:val="000000"/>
          <w:szCs w:val="21"/>
        </w:rPr>
        <w:t>萌芽生长至8</w:t>
      </w:r>
      <w:r>
        <w:rPr>
          <w:rFonts w:hint="eastAsia" w:hAnsi="宋体" w:cs="宋体"/>
          <w:color w:val="000000"/>
          <w:szCs w:val="21"/>
          <w:vertAlign w:val="superscript"/>
        </w:rPr>
        <w:t xml:space="preserve"> </w:t>
      </w:r>
      <w:r>
        <w:rPr>
          <w:rFonts w:hint="eastAsia" w:hAnsi="宋体" w:cs="宋体"/>
          <w:color w:val="000000"/>
          <w:szCs w:val="21"/>
        </w:rPr>
        <w:t>cm～15</w:t>
      </w:r>
      <w:r>
        <w:rPr>
          <w:rFonts w:hint="eastAsia" w:hAnsi="宋体" w:cs="宋体"/>
          <w:color w:val="000000"/>
          <w:szCs w:val="21"/>
          <w:vertAlign w:val="superscript"/>
        </w:rPr>
        <w:t xml:space="preserve"> </w:t>
      </w:r>
      <w:r>
        <w:rPr>
          <w:rFonts w:hint="eastAsia" w:hAnsi="宋体" w:cs="宋体"/>
          <w:color w:val="000000"/>
          <w:szCs w:val="21"/>
        </w:rPr>
        <w:t>cm，芽条达半木质化，生长健壮、无病虫危害的萌条可做扦插穗条。采条时，靠近叶腋（主干）剪取，剪下的萌条及时竖立在盛水的桶、盆内，在阴凉处将基部4</w:t>
      </w:r>
      <w:r>
        <w:rPr>
          <w:rFonts w:hint="eastAsia" w:hAnsi="宋体" w:cs="宋体"/>
          <w:color w:val="000000"/>
          <w:szCs w:val="21"/>
          <w:vertAlign w:val="superscript"/>
        </w:rPr>
        <w:t xml:space="preserve"> </w:t>
      </w:r>
      <w:r>
        <w:rPr>
          <w:rFonts w:hint="eastAsia" w:hAnsi="宋体" w:cs="宋体"/>
          <w:color w:val="000000"/>
          <w:szCs w:val="21"/>
        </w:rPr>
        <w:t>cm～5</w:t>
      </w:r>
      <w:r>
        <w:rPr>
          <w:rFonts w:hint="eastAsia" w:hAnsi="宋体" w:cs="宋体"/>
          <w:color w:val="000000"/>
          <w:szCs w:val="21"/>
          <w:vertAlign w:val="superscript"/>
        </w:rPr>
        <w:t xml:space="preserve"> </w:t>
      </w:r>
      <w:r>
        <w:rPr>
          <w:rFonts w:hint="eastAsia" w:hAnsi="宋体" w:cs="宋体"/>
          <w:color w:val="000000"/>
          <w:szCs w:val="21"/>
        </w:rPr>
        <w:t>cm的叶片减去，竖立在盛有清水的盆内备用。</w:t>
      </w:r>
    </w:p>
    <w:p>
      <w:pPr>
        <w:pStyle w:val="67"/>
        <w:spacing w:before="120" w:after="120"/>
      </w:pPr>
      <w:r>
        <w:rPr>
          <w:rFonts w:hint="eastAsia"/>
        </w:rPr>
        <w:t>扦插时间</w:t>
      </w:r>
    </w:p>
    <w:p>
      <w:pPr>
        <w:pStyle w:val="58"/>
        <w:ind w:firstLine="420"/>
      </w:pPr>
      <w:r>
        <w:rPr>
          <w:rFonts w:hint="eastAsia"/>
        </w:rPr>
        <w:t>根据造林需要，全年均可扦插，秋、冬或早春扦插成活率较高，以早晨、傍晚或者阴天效果最佳。</w:t>
      </w:r>
    </w:p>
    <w:p>
      <w:pPr>
        <w:pStyle w:val="67"/>
        <w:spacing w:before="120" w:after="120"/>
      </w:pPr>
      <w:r>
        <w:rPr>
          <w:rFonts w:hint="eastAsia"/>
        </w:rPr>
        <w:t>扦插及管理</w:t>
      </w:r>
    </w:p>
    <w:p>
      <w:pPr>
        <w:pStyle w:val="96"/>
        <w:spacing w:before="120" w:after="120"/>
      </w:pPr>
      <w:r>
        <w:rPr>
          <w:rFonts w:hint="eastAsia"/>
        </w:rPr>
        <w:t>扦插方法</w:t>
      </w:r>
    </w:p>
    <w:p>
      <w:pPr>
        <w:pStyle w:val="58"/>
        <w:ind w:firstLine="420"/>
        <w:rPr>
          <w:rFonts w:hAnsi="宋体" w:cs="宋体"/>
          <w:color w:val="000000"/>
          <w:szCs w:val="21"/>
        </w:rPr>
      </w:pPr>
      <w:r>
        <w:rPr>
          <w:rFonts w:hint="eastAsia"/>
        </w:rPr>
        <w:t>用生根粉或生根剂按说明稀释为合适浓度后与滑石粉调制成糊状，扦插时用穗条基部蘸上调制好的生根剂，随蘸随插，穗条插入基质深度</w:t>
      </w:r>
      <w:r>
        <w:rPr>
          <w:rFonts w:hint="eastAsia" w:hAnsi="宋体" w:cs="宋体"/>
          <w:color w:val="000000"/>
          <w:szCs w:val="21"/>
        </w:rPr>
        <w:t>3</w:t>
      </w:r>
      <w:r>
        <w:rPr>
          <w:rFonts w:hint="eastAsia" w:hAnsi="宋体" w:cs="宋体"/>
          <w:color w:val="000000"/>
          <w:szCs w:val="21"/>
          <w:vertAlign w:val="superscript"/>
        </w:rPr>
        <w:t xml:space="preserve"> </w:t>
      </w:r>
      <w:r>
        <w:rPr>
          <w:rFonts w:hint="eastAsia" w:hAnsi="宋体" w:cs="宋体"/>
          <w:color w:val="000000"/>
          <w:szCs w:val="21"/>
        </w:rPr>
        <w:t>cm～4</w:t>
      </w:r>
      <w:r>
        <w:rPr>
          <w:rFonts w:hint="eastAsia" w:hAnsi="宋体" w:cs="宋体"/>
          <w:color w:val="000000"/>
          <w:szCs w:val="21"/>
          <w:vertAlign w:val="superscript"/>
        </w:rPr>
        <w:t xml:space="preserve"> </w:t>
      </w:r>
      <w:r>
        <w:rPr>
          <w:rFonts w:hint="eastAsia" w:hAnsi="宋体" w:cs="宋体"/>
          <w:color w:val="000000"/>
          <w:szCs w:val="21"/>
        </w:rPr>
        <w:t>cm，随后立即淋水定根保湿。</w:t>
      </w:r>
    </w:p>
    <w:p>
      <w:pPr>
        <w:pStyle w:val="96"/>
        <w:spacing w:before="120" w:after="120"/>
      </w:pPr>
      <w:r>
        <w:rPr>
          <w:rFonts w:hint="eastAsia"/>
        </w:rPr>
        <w:t>基质配置</w:t>
      </w:r>
    </w:p>
    <w:p>
      <w:pPr>
        <w:pStyle w:val="58"/>
        <w:ind w:firstLine="420"/>
      </w:pPr>
      <w:r>
        <w:rPr>
          <w:rFonts w:hint="eastAsia"/>
        </w:rPr>
        <w:t>按5.1.6.1要求执行。</w:t>
      </w:r>
    </w:p>
    <w:p>
      <w:pPr>
        <w:pStyle w:val="96"/>
        <w:spacing w:before="120" w:after="120"/>
      </w:pPr>
      <w:r>
        <w:rPr>
          <w:rFonts w:hint="eastAsia"/>
        </w:rPr>
        <w:t>容器选择</w:t>
      </w:r>
    </w:p>
    <w:p>
      <w:pPr>
        <w:pStyle w:val="58"/>
        <w:ind w:firstLine="420"/>
      </w:pPr>
      <w:r>
        <w:rPr>
          <w:rFonts w:hint="eastAsia"/>
        </w:rPr>
        <w:t>按5.1.6.2要求执行。</w:t>
      </w:r>
    </w:p>
    <w:p>
      <w:pPr>
        <w:pStyle w:val="96"/>
        <w:spacing w:before="120" w:after="120"/>
      </w:pPr>
      <w:r>
        <w:rPr>
          <w:rFonts w:hint="eastAsia"/>
        </w:rPr>
        <w:t>水肥及光照管理</w:t>
      </w:r>
    </w:p>
    <w:p>
      <w:pPr>
        <w:pStyle w:val="169"/>
      </w:pPr>
      <w:r>
        <w:rPr>
          <w:rFonts w:hint="eastAsia"/>
        </w:rPr>
        <w:t>扦插后用铁线或竹片做拱，盖上薄膜和遮荫网（遮光度75％～85％），及时淋水保持基质的湿润。</w:t>
      </w:r>
    </w:p>
    <w:p>
      <w:pPr>
        <w:pStyle w:val="169"/>
      </w:pPr>
      <w:r>
        <w:rPr>
          <w:rFonts w:hint="eastAsia" w:cs="宋体"/>
        </w:rPr>
        <w:t>插穗</w:t>
      </w:r>
      <w:r>
        <w:rPr>
          <w:rFonts w:hint="eastAsia"/>
        </w:rPr>
        <w:t>大量生根后</w:t>
      </w:r>
      <w:r>
        <w:rPr>
          <w:rFonts w:hint="eastAsia" w:cs="宋体"/>
        </w:rPr>
        <w:t>，</w:t>
      </w:r>
      <w:r>
        <w:rPr>
          <w:rFonts w:hint="eastAsia"/>
        </w:rPr>
        <w:t>用</w:t>
      </w:r>
      <w:r>
        <w:t>0.05</w:t>
      </w:r>
      <w:r>
        <w:rPr>
          <w:rFonts w:hint="eastAsia"/>
        </w:rPr>
        <w:t>％～</w:t>
      </w:r>
      <w:r>
        <w:t>0.1</w:t>
      </w:r>
      <w:r>
        <w:rPr>
          <w:rFonts w:hint="eastAsia"/>
        </w:rPr>
        <w:t>％营养型叶面肥溶液喷施，</w:t>
      </w:r>
      <w:r>
        <w:t xml:space="preserve"> </w:t>
      </w:r>
      <w:r>
        <w:rPr>
          <w:rFonts w:hint="eastAsia"/>
        </w:rPr>
        <w:t>此后每</w:t>
      </w:r>
      <w:r>
        <w:t>7</w:t>
      </w:r>
      <w:r>
        <w:rPr>
          <w:rFonts w:hint="eastAsia" w:ascii="MS Mincho" w:hAnsi="MS Mincho" w:eastAsia="MS Mincho" w:cs="MS Mincho"/>
          <w:vertAlign w:val="superscript"/>
        </w:rPr>
        <w:t> </w:t>
      </w:r>
      <w:r>
        <w:rPr>
          <w:rFonts w:hint="eastAsia"/>
        </w:rPr>
        <w:t>d</w:t>
      </w:r>
      <w:r>
        <w:t>～15</w:t>
      </w:r>
      <w:r>
        <w:rPr>
          <w:rFonts w:hint="eastAsia" w:ascii="MS Mincho" w:hAnsi="MS Mincho" w:eastAsia="MS Mincho" w:cs="MS Mincho"/>
          <w:vertAlign w:val="superscript"/>
        </w:rPr>
        <w:t> </w:t>
      </w:r>
      <w:r>
        <w:rPr>
          <w:rFonts w:hint="eastAsia"/>
        </w:rPr>
        <w:t>d，用</w:t>
      </w:r>
      <w:r>
        <w:t>0.</w:t>
      </w:r>
      <w:r>
        <w:rPr>
          <w:rFonts w:hint="eastAsia"/>
        </w:rPr>
        <w:t>2％～</w:t>
      </w:r>
      <w:r>
        <w:t>0.5</w:t>
      </w:r>
      <w:r>
        <w:rPr>
          <w:rFonts w:hint="eastAsia"/>
        </w:rPr>
        <w:t>％的复合肥（</w:t>
      </w:r>
      <w:r>
        <w:t>N+P</w:t>
      </w:r>
      <w:r>
        <w:rPr>
          <w:vertAlign w:val="subscript"/>
        </w:rPr>
        <w:t>2</w:t>
      </w:r>
      <w:r>
        <w:t>O</w:t>
      </w:r>
      <w:r>
        <w:rPr>
          <w:vertAlign w:val="subscript"/>
        </w:rPr>
        <w:t xml:space="preserve">5 </w:t>
      </w:r>
      <w:r>
        <w:t>+K</w:t>
      </w:r>
      <w:r>
        <w:rPr>
          <w:vertAlign w:val="subscript"/>
        </w:rPr>
        <w:t>2</w:t>
      </w:r>
      <w:r>
        <w:t>O</w:t>
      </w:r>
      <w:r>
        <w:rPr>
          <w:vertAlign w:val="superscript"/>
        </w:rPr>
        <w:t xml:space="preserve"> </w:t>
      </w:r>
      <w:r>
        <w:rPr>
          <w:rFonts w:hint="eastAsia"/>
        </w:rPr>
        <w:t>≥</w:t>
      </w:r>
      <w:r>
        <w:t>45</w:t>
      </w:r>
      <w:r>
        <w:rPr>
          <w:rFonts w:hint="eastAsia"/>
        </w:rPr>
        <w:t>％）溶液喷施，按先稀后浓的原则。施肥后及时淋水洗苗（喷施叶面肥除外）。</w:t>
      </w:r>
    </w:p>
    <w:p>
      <w:pPr>
        <w:pStyle w:val="169"/>
      </w:pPr>
      <w:r>
        <w:rPr>
          <w:rFonts w:hint="eastAsia"/>
        </w:rPr>
        <w:t>大部分穗条生根后，揭开遮荫网进行露天培养。</w:t>
      </w:r>
    </w:p>
    <w:p>
      <w:pPr>
        <w:pStyle w:val="96"/>
        <w:spacing w:before="120" w:after="120"/>
      </w:pPr>
      <w:r>
        <w:rPr>
          <w:rFonts w:hint="eastAsia"/>
        </w:rPr>
        <w:t>除草</w:t>
      </w:r>
    </w:p>
    <w:p>
      <w:pPr>
        <w:pStyle w:val="58"/>
        <w:ind w:firstLine="420"/>
      </w:pPr>
      <w:r>
        <w:rPr>
          <w:rFonts w:hint="eastAsia"/>
        </w:rPr>
        <w:t>按5.1.8.4要求执行。</w:t>
      </w:r>
    </w:p>
    <w:p>
      <w:pPr>
        <w:pStyle w:val="96"/>
        <w:spacing w:before="120" w:after="120"/>
      </w:pPr>
      <w:r>
        <w:rPr>
          <w:rFonts w:hint="eastAsia"/>
        </w:rPr>
        <w:t>分级摆放和管理</w:t>
      </w:r>
    </w:p>
    <w:p>
      <w:pPr>
        <w:pStyle w:val="58"/>
        <w:ind w:firstLine="420"/>
      </w:pPr>
      <w:r>
        <w:rPr>
          <w:rFonts w:hint="eastAsia"/>
        </w:rPr>
        <w:t>按5.1.8.5要求执行。</w:t>
      </w:r>
    </w:p>
    <w:p>
      <w:pPr>
        <w:pStyle w:val="107"/>
        <w:spacing w:before="120" w:after="120"/>
      </w:pPr>
      <w:r>
        <w:rPr>
          <w:rFonts w:hint="eastAsia"/>
        </w:rPr>
        <w:t>组培育苗</w:t>
      </w:r>
    </w:p>
    <w:p>
      <w:pPr>
        <w:pStyle w:val="67"/>
        <w:spacing w:before="120" w:after="120"/>
      </w:pPr>
      <w:r>
        <w:rPr>
          <w:rFonts w:hint="eastAsia"/>
        </w:rPr>
        <w:t>材料来源</w:t>
      </w:r>
    </w:p>
    <w:p>
      <w:pPr>
        <w:pStyle w:val="58"/>
        <w:ind w:firstLine="420"/>
      </w:pPr>
      <w:r>
        <w:rPr>
          <w:rFonts w:hint="eastAsia"/>
        </w:rPr>
        <w:t>外植体的母树应为省级以上良种审（认）定的无性系原株和早期无性系分株的基部萌芽条。</w:t>
      </w:r>
    </w:p>
    <w:p>
      <w:pPr>
        <w:pStyle w:val="67"/>
        <w:spacing w:before="120" w:after="120"/>
      </w:pPr>
      <w:r>
        <w:rPr>
          <w:rFonts w:hint="eastAsia"/>
        </w:rPr>
        <w:t>外植体采集</w:t>
      </w:r>
    </w:p>
    <w:p>
      <w:pPr>
        <w:pStyle w:val="58"/>
        <w:ind w:firstLine="420"/>
      </w:pPr>
      <w:r>
        <w:rPr>
          <w:rFonts w:hint="eastAsia"/>
        </w:rPr>
        <w:t>外植体采集应在连续三天以上晴好天气后进行，采集前提前3</w:t>
      </w:r>
      <w:r>
        <w:rPr>
          <w:rFonts w:hint="eastAsia"/>
          <w:vertAlign w:val="superscript"/>
        </w:rPr>
        <w:t xml:space="preserve"> </w:t>
      </w:r>
      <w:r>
        <w:rPr>
          <w:rFonts w:hint="eastAsia"/>
        </w:rPr>
        <w:t>d</w:t>
      </w:r>
      <w:r>
        <w:rPr>
          <w:rFonts w:hint="eastAsia" w:hAnsi="宋体"/>
          <w:szCs w:val="21"/>
        </w:rPr>
        <w:t>～5</w:t>
      </w:r>
      <w:r>
        <w:rPr>
          <w:rFonts w:hint="eastAsia" w:hAnsi="宋体"/>
          <w:szCs w:val="21"/>
          <w:vertAlign w:val="superscript"/>
        </w:rPr>
        <w:t xml:space="preserve"> </w:t>
      </w:r>
      <w:r>
        <w:rPr>
          <w:rFonts w:hint="eastAsia" w:hAnsi="宋体"/>
          <w:szCs w:val="21"/>
        </w:rPr>
        <w:t>d用</w:t>
      </w:r>
      <w:r>
        <w:rPr>
          <w:rFonts w:hint="eastAsia" w:hAnsi="宋体" w:cs="宋体"/>
          <w:szCs w:val="21"/>
        </w:rPr>
        <w:t>800倍～1000倍百菌清，或多菌灵喷洒萌芽条。</w:t>
      </w:r>
      <w:r>
        <w:rPr>
          <w:rFonts w:hint="eastAsia"/>
        </w:rPr>
        <w:t>选取半木质化、生长旺盛、无病虫害的萌芽条，采集后竖立于盛有清水的桶里带回实验室。对不同的无性系或优树的外植体加标签，标记无性系号、采集时间、采集地点等。</w:t>
      </w:r>
    </w:p>
    <w:p>
      <w:pPr>
        <w:pStyle w:val="67"/>
        <w:spacing w:before="120" w:after="120"/>
      </w:pPr>
      <w:r>
        <w:rPr>
          <w:rFonts w:hint="eastAsia"/>
        </w:rPr>
        <w:t>外植体消毒及处理</w:t>
      </w:r>
    </w:p>
    <w:p>
      <w:pPr>
        <w:pStyle w:val="166"/>
      </w:pPr>
      <w:r>
        <w:rPr>
          <w:rFonts w:hint="eastAsia" w:hAnsi="宋体" w:cs="宋体"/>
        </w:rPr>
        <w:t>在实验室将外植体的叶片和顶芽去掉，用流水冲洗1</w:t>
      </w:r>
      <w:r>
        <w:rPr>
          <w:rFonts w:hint="eastAsia" w:hAnsi="宋体" w:cs="宋体"/>
          <w:vertAlign w:val="superscript"/>
        </w:rPr>
        <w:t xml:space="preserve"> </w:t>
      </w:r>
      <w:r>
        <w:rPr>
          <w:rFonts w:hint="eastAsia" w:hAnsi="宋体" w:cs="宋体"/>
        </w:rPr>
        <w:t>h～2</w:t>
      </w:r>
      <w:r>
        <w:rPr>
          <w:rFonts w:hint="eastAsia" w:hAnsi="宋体" w:cs="宋体"/>
          <w:vertAlign w:val="superscript"/>
        </w:rPr>
        <w:t xml:space="preserve"> </w:t>
      </w:r>
      <w:r>
        <w:rPr>
          <w:rFonts w:hint="eastAsia" w:hAnsi="宋体" w:cs="宋体"/>
        </w:rPr>
        <w:t>h，捞起用干净的滤纸吸干表面的水分，将芽条剪成含有1个～2个腋芽的茎段，保持茎段长度2</w:t>
      </w:r>
      <w:r>
        <w:rPr>
          <w:rFonts w:hAnsi="宋体" w:cs="宋体"/>
          <w:vertAlign w:val="superscript"/>
        </w:rPr>
        <w:t xml:space="preserve"> </w:t>
      </w:r>
      <w:r>
        <w:rPr>
          <w:rFonts w:hint="eastAsia" w:hAnsi="宋体" w:cs="宋体"/>
        </w:rPr>
        <w:t>cm～3</w:t>
      </w:r>
      <w:r>
        <w:rPr>
          <w:rFonts w:hAnsi="宋体" w:cs="宋体"/>
          <w:vertAlign w:val="superscript"/>
        </w:rPr>
        <w:t xml:space="preserve"> </w:t>
      </w:r>
      <w:r>
        <w:rPr>
          <w:rFonts w:hAnsi="宋体" w:cs="宋体"/>
        </w:rPr>
        <w:t>cm</w:t>
      </w:r>
      <w:r>
        <w:rPr>
          <w:rFonts w:hint="eastAsia" w:hAnsi="宋体" w:cs="宋体"/>
        </w:rPr>
        <w:t>。</w:t>
      </w:r>
    </w:p>
    <w:p>
      <w:pPr>
        <w:pStyle w:val="166"/>
      </w:pPr>
      <w:r>
        <w:rPr>
          <w:rFonts w:hint="eastAsia" w:hAnsi="宋体" w:cs="宋体"/>
        </w:rPr>
        <w:t>在无菌条件下，用75％的酒精消毒茎段5</w:t>
      </w:r>
      <w:r>
        <w:rPr>
          <w:rFonts w:hint="eastAsia" w:hAnsi="宋体" w:cs="宋体"/>
          <w:vertAlign w:val="superscript"/>
        </w:rPr>
        <w:t xml:space="preserve"> </w:t>
      </w:r>
      <w:r>
        <w:rPr>
          <w:rFonts w:hint="eastAsia" w:hAnsi="宋体" w:cs="宋体"/>
        </w:rPr>
        <w:t>s～10</w:t>
      </w:r>
      <w:r>
        <w:rPr>
          <w:rFonts w:hint="eastAsia" w:hAnsi="宋体" w:cs="宋体"/>
          <w:vertAlign w:val="superscript"/>
        </w:rPr>
        <w:t xml:space="preserve"> </w:t>
      </w:r>
      <w:r>
        <w:rPr>
          <w:rFonts w:hint="eastAsia" w:hAnsi="宋体" w:cs="宋体"/>
        </w:rPr>
        <w:t>s，用无菌水冲洗2次～3次。再用0.1％升汞溶液加上两滴吐温-20浸泡茎段4</w:t>
      </w:r>
      <w:r>
        <w:rPr>
          <w:rFonts w:hint="eastAsia" w:hAnsi="宋体" w:cs="宋体"/>
          <w:vertAlign w:val="superscript"/>
        </w:rPr>
        <w:t xml:space="preserve"> </w:t>
      </w:r>
      <w:r>
        <w:rPr>
          <w:rFonts w:hint="eastAsia" w:hAnsi="宋体" w:cs="宋体"/>
        </w:rPr>
        <w:t>min～8</w:t>
      </w:r>
      <w:r>
        <w:rPr>
          <w:rFonts w:hint="eastAsia" w:hAnsi="宋体" w:cs="宋体"/>
          <w:vertAlign w:val="superscript"/>
        </w:rPr>
        <w:t xml:space="preserve"> </w:t>
      </w:r>
      <w:r>
        <w:rPr>
          <w:rFonts w:hint="eastAsia" w:hAnsi="宋体" w:cs="宋体"/>
        </w:rPr>
        <w:t>min，或用10％的次氯酸纳溶液消毒10</w:t>
      </w:r>
      <w:r>
        <w:rPr>
          <w:rFonts w:hint="eastAsia" w:hAnsi="宋体" w:cs="宋体"/>
          <w:vertAlign w:val="superscript"/>
        </w:rPr>
        <w:t xml:space="preserve"> </w:t>
      </w:r>
      <w:r>
        <w:rPr>
          <w:rFonts w:hint="eastAsia" w:hAnsi="宋体" w:cs="宋体"/>
        </w:rPr>
        <w:t>min～15</w:t>
      </w:r>
      <w:r>
        <w:rPr>
          <w:rFonts w:hint="eastAsia" w:hAnsi="宋体" w:cs="宋体"/>
          <w:vertAlign w:val="superscript"/>
        </w:rPr>
        <w:t xml:space="preserve"> </w:t>
      </w:r>
      <w:r>
        <w:rPr>
          <w:rFonts w:hint="eastAsia" w:hAnsi="宋体" w:cs="宋体"/>
        </w:rPr>
        <w:t>min，期间不断轻微摇动，用无菌水冲洗3次～4次。</w:t>
      </w:r>
    </w:p>
    <w:p>
      <w:pPr>
        <w:pStyle w:val="67"/>
        <w:spacing w:before="120" w:after="120"/>
      </w:pPr>
      <w:r>
        <w:rPr>
          <w:rFonts w:hint="eastAsia"/>
        </w:rPr>
        <w:t>培养基配置</w:t>
      </w:r>
    </w:p>
    <w:p>
      <w:pPr>
        <w:pStyle w:val="58"/>
        <w:ind w:firstLine="420"/>
      </w:pPr>
      <w:r>
        <w:rPr>
          <w:rFonts w:hint="eastAsia"/>
        </w:rPr>
        <w:t>按LY/T 1770—2008中6规定的培养基配置执行。</w:t>
      </w:r>
    </w:p>
    <w:p>
      <w:pPr>
        <w:pStyle w:val="67"/>
        <w:spacing w:before="120" w:after="120"/>
      </w:pPr>
      <w:r>
        <w:rPr>
          <w:rFonts w:hint="eastAsia"/>
        </w:rPr>
        <w:t>外植体接种</w:t>
      </w:r>
    </w:p>
    <w:p>
      <w:pPr>
        <w:pStyle w:val="166"/>
      </w:pPr>
      <w:r>
        <w:rPr>
          <w:rFonts w:hint="eastAsia" w:hAnsi="宋体" w:cs="宋体"/>
        </w:rPr>
        <w:t>接种前用紫外灯对接种间杀菌25</w:t>
      </w:r>
      <w:r>
        <w:rPr>
          <w:rFonts w:hint="eastAsia" w:hAnsi="宋体" w:cs="宋体"/>
          <w:vertAlign w:val="superscript"/>
        </w:rPr>
        <w:t xml:space="preserve"> </w:t>
      </w:r>
      <w:r>
        <w:rPr>
          <w:rFonts w:hint="eastAsia" w:hAnsi="宋体" w:cs="宋体"/>
        </w:rPr>
        <w:t>min～30</w:t>
      </w:r>
      <w:r>
        <w:rPr>
          <w:rFonts w:hint="eastAsia" w:hAnsi="宋体" w:cs="宋体"/>
          <w:vertAlign w:val="superscript"/>
        </w:rPr>
        <w:t xml:space="preserve"> </w:t>
      </w:r>
      <w:r>
        <w:rPr>
          <w:rFonts w:hint="eastAsia" w:hAnsi="宋体" w:cs="宋体"/>
        </w:rPr>
        <w:t>min,同时开启超净工作台上的风机和紫外灯。接种前用75％的酒精擦拭超净台台面、侧面及顶部。</w:t>
      </w:r>
    </w:p>
    <w:p>
      <w:pPr>
        <w:pStyle w:val="166"/>
      </w:pPr>
      <w:r>
        <w:rPr>
          <w:rFonts w:hint="eastAsia" w:hAnsi="宋体" w:cs="宋体"/>
        </w:rPr>
        <w:t>接种人员穿着干净的工作服、拖鞋，佩戴好口罩，接种前用75％的酒精消毒双手。接种器皿、手术刀、镊子先用高压灭菌锅消毒灭菌。</w:t>
      </w:r>
    </w:p>
    <w:p>
      <w:pPr>
        <w:pStyle w:val="166"/>
      </w:pPr>
      <w:r>
        <w:rPr>
          <w:rFonts w:hint="eastAsia" w:hAnsi="宋体" w:cs="宋体"/>
        </w:rPr>
        <w:t>在无菌条件下用手术刀或手术剪将消毒好的外植体两头切掉，垂直或略微倾斜的插入培养基上，应插稳，但不宜直接插入到培养基底部，每瓶接种1根茎段。</w:t>
      </w:r>
    </w:p>
    <w:p>
      <w:pPr>
        <w:pStyle w:val="166"/>
      </w:pPr>
      <w:r>
        <w:rPr>
          <w:rFonts w:hint="eastAsia" w:hAnsi="宋体" w:cs="宋体"/>
        </w:rPr>
        <w:t>接种完毕后，在培养器皿上标明接种人姓名、接种日期、无性系编号。</w:t>
      </w:r>
    </w:p>
    <w:p>
      <w:pPr>
        <w:pStyle w:val="67"/>
        <w:spacing w:before="120" w:after="120"/>
      </w:pPr>
      <w:r>
        <w:rPr>
          <w:rFonts w:hint="eastAsia"/>
        </w:rPr>
        <w:t>无菌芽苗转接</w:t>
      </w:r>
    </w:p>
    <w:p>
      <w:pPr>
        <w:pStyle w:val="96"/>
        <w:spacing w:before="120" w:after="120"/>
      </w:pPr>
      <w:r>
        <w:rPr>
          <w:rFonts w:hint="eastAsia"/>
        </w:rPr>
        <w:t>接种前准备工作</w:t>
      </w:r>
    </w:p>
    <w:p>
      <w:pPr>
        <w:pStyle w:val="58"/>
        <w:ind w:firstLine="420"/>
      </w:pPr>
      <w:r>
        <w:rPr>
          <w:rFonts w:hint="eastAsia"/>
        </w:rPr>
        <w:t>按5.3.5.1、5.3.5.2要求执行。</w:t>
      </w:r>
    </w:p>
    <w:p>
      <w:pPr>
        <w:pStyle w:val="96"/>
        <w:spacing w:before="120" w:after="120"/>
      </w:pPr>
      <w:r>
        <w:rPr>
          <w:rFonts w:hint="eastAsia"/>
        </w:rPr>
        <w:t>芽苗转接</w:t>
      </w:r>
    </w:p>
    <w:p>
      <w:pPr>
        <w:pStyle w:val="169"/>
      </w:pPr>
      <w:r>
        <w:rPr>
          <w:rFonts w:hint="eastAsia"/>
        </w:rPr>
        <w:t>在无菌条件下将芽苗从培养瓶中取出，置于已消毒好的器皿中，用手术剪或手术刀将丛芽切成小芽丛或者单个芽，并将附着有培养基的叶片切除，将小芽丛接种到新鲜的增殖培养基上进行增殖培养。</w:t>
      </w:r>
    </w:p>
    <w:p>
      <w:pPr>
        <w:pStyle w:val="169"/>
      </w:pPr>
      <w:r>
        <w:rPr>
          <w:rFonts w:hint="eastAsia"/>
        </w:rPr>
        <w:t>增殖培养的小芽可以直接平铺于培养基上。</w:t>
      </w:r>
    </w:p>
    <w:p>
      <w:pPr>
        <w:pStyle w:val="169"/>
      </w:pPr>
      <w:r>
        <w:rPr>
          <w:rFonts w:hint="eastAsia"/>
        </w:rPr>
        <w:t>选择健壮的单个小芽垂直接种到新鲜的生根培养基上进行诱导生根，插入生根培养基的一半左右，小芽基部不宜直接触碰到培养器皿的底部。</w:t>
      </w:r>
    </w:p>
    <w:p>
      <w:pPr>
        <w:pStyle w:val="169"/>
      </w:pPr>
      <w:r>
        <w:rPr>
          <w:rFonts w:hint="eastAsia"/>
        </w:rPr>
        <w:t>每转接一个培养器皿的材料，应更换接种器皿、手术剪、手术刀、镊子等用具，同时用</w:t>
      </w:r>
      <w:r>
        <w:rPr>
          <w:rFonts w:hint="eastAsia" w:cs="宋体"/>
        </w:rPr>
        <w:t>75％的酒精消毒双手。</w:t>
      </w:r>
    </w:p>
    <w:p>
      <w:pPr>
        <w:pStyle w:val="96"/>
        <w:spacing w:before="120" w:after="120"/>
      </w:pPr>
      <w:r>
        <w:rPr>
          <w:rFonts w:hint="eastAsia"/>
        </w:rPr>
        <w:t>标记</w:t>
      </w:r>
    </w:p>
    <w:p>
      <w:pPr>
        <w:pStyle w:val="58"/>
        <w:ind w:firstLine="420"/>
      </w:pPr>
      <w:r>
        <w:rPr>
          <w:rFonts w:hint="eastAsia"/>
        </w:rPr>
        <w:t>接种完毕后，按5.3.5.4要求执行。</w:t>
      </w:r>
    </w:p>
    <w:p>
      <w:pPr>
        <w:pStyle w:val="67"/>
        <w:spacing w:before="120" w:after="120"/>
      </w:pPr>
      <w:r>
        <w:rPr>
          <w:rFonts w:hint="eastAsia"/>
        </w:rPr>
        <w:t>培养环境</w:t>
      </w:r>
    </w:p>
    <w:p>
      <w:pPr>
        <w:pStyle w:val="96"/>
        <w:spacing w:before="120" w:after="120"/>
      </w:pPr>
      <w:r>
        <w:rPr>
          <w:rFonts w:hint="eastAsia"/>
        </w:rPr>
        <w:t>诱导培育</w:t>
      </w:r>
    </w:p>
    <w:p>
      <w:pPr>
        <w:pStyle w:val="169"/>
      </w:pPr>
      <w:r>
        <w:rPr>
          <w:rFonts w:hint="eastAsia" w:hAnsi="宋体"/>
          <w:color w:val="000000"/>
          <w:szCs w:val="21"/>
        </w:rPr>
        <w:t>培养室内温度控制在26</w:t>
      </w:r>
      <w:r>
        <w:rPr>
          <w:rFonts w:hAnsi="宋体"/>
          <w:color w:val="000000"/>
          <w:szCs w:val="21"/>
          <w:vertAlign w:val="superscript"/>
        </w:rPr>
        <w:t xml:space="preserve"> </w:t>
      </w:r>
      <w:r>
        <w:rPr>
          <w:rFonts w:hint="eastAsia" w:hAnsi="宋体"/>
          <w:color w:val="000000"/>
          <w:szCs w:val="21"/>
        </w:rPr>
        <w:t>℃</w:t>
      </w:r>
      <w:r>
        <w:rPr>
          <w:rFonts w:hint="eastAsia" w:hAnsi="宋体" w:cs="宋体"/>
        </w:rPr>
        <w:t>～</w:t>
      </w:r>
      <w:r>
        <w:rPr>
          <w:rFonts w:hint="eastAsia" w:hAnsi="宋体"/>
          <w:color w:val="000000"/>
          <w:szCs w:val="21"/>
        </w:rPr>
        <w:t>28</w:t>
      </w:r>
      <w:r>
        <w:rPr>
          <w:rFonts w:hAnsi="宋体"/>
          <w:color w:val="000000"/>
          <w:szCs w:val="21"/>
          <w:vertAlign w:val="superscript"/>
        </w:rPr>
        <w:t xml:space="preserve"> </w:t>
      </w:r>
      <w:r>
        <w:rPr>
          <w:rFonts w:hint="eastAsia" w:hAnsi="宋体"/>
          <w:color w:val="000000"/>
          <w:szCs w:val="21"/>
        </w:rPr>
        <w:t>℃。</w:t>
      </w:r>
    </w:p>
    <w:p>
      <w:pPr>
        <w:pStyle w:val="169"/>
      </w:pPr>
      <w:r>
        <w:rPr>
          <w:rFonts w:hint="eastAsia" w:hAnsi="宋体"/>
          <w:color w:val="000000"/>
          <w:szCs w:val="21"/>
        </w:rPr>
        <w:t>接种后先进行</w:t>
      </w:r>
      <w:r>
        <w:rPr>
          <w:rFonts w:hint="eastAsia" w:hAnsi="宋体" w:cs="宋体"/>
        </w:rPr>
        <w:t>暗培养10</w:t>
      </w:r>
      <w:r>
        <w:rPr>
          <w:rFonts w:hint="eastAsia" w:hAnsi="宋体" w:cs="宋体"/>
          <w:vertAlign w:val="superscript"/>
        </w:rPr>
        <w:t xml:space="preserve"> </w:t>
      </w:r>
      <w:r>
        <w:rPr>
          <w:rFonts w:hint="eastAsia" w:hAnsi="宋体" w:cs="宋体"/>
        </w:rPr>
        <w:t>d，然后进行光照培养，光照强度2000</w:t>
      </w:r>
      <w:r>
        <w:rPr>
          <w:rFonts w:hint="eastAsia" w:hAnsi="宋体" w:cs="宋体"/>
          <w:vertAlign w:val="superscript"/>
        </w:rPr>
        <w:t xml:space="preserve"> </w:t>
      </w:r>
      <w:r>
        <w:rPr>
          <w:rFonts w:hint="eastAsia" w:hAnsi="宋体" w:cs="宋体"/>
        </w:rPr>
        <w:t>Lx～3000</w:t>
      </w:r>
      <w:r>
        <w:rPr>
          <w:rFonts w:hint="eastAsia" w:hAnsi="宋体" w:cs="宋体"/>
          <w:vertAlign w:val="superscript"/>
        </w:rPr>
        <w:t xml:space="preserve"> </w:t>
      </w:r>
      <w:r>
        <w:rPr>
          <w:rFonts w:hint="eastAsia" w:hAnsi="宋体" w:cs="宋体"/>
        </w:rPr>
        <w:t>Lx，每天光照时间8</w:t>
      </w:r>
      <w:r>
        <w:rPr>
          <w:rFonts w:hint="eastAsia" w:hAnsi="宋体" w:cs="宋体"/>
          <w:vertAlign w:val="superscript"/>
        </w:rPr>
        <w:t xml:space="preserve"> </w:t>
      </w:r>
      <w:r>
        <w:rPr>
          <w:rFonts w:hint="eastAsia" w:hAnsi="宋体" w:cs="宋体"/>
        </w:rPr>
        <w:t>h～12</w:t>
      </w:r>
      <w:r>
        <w:rPr>
          <w:rFonts w:hint="eastAsia" w:hAnsi="宋体" w:cs="宋体"/>
          <w:vertAlign w:val="superscript"/>
        </w:rPr>
        <w:t xml:space="preserve"> </w:t>
      </w:r>
      <w:r>
        <w:rPr>
          <w:rFonts w:hint="eastAsia" w:hAnsi="宋体" w:cs="宋体"/>
        </w:rPr>
        <w:t>h。</w:t>
      </w:r>
    </w:p>
    <w:p>
      <w:pPr>
        <w:pStyle w:val="169"/>
      </w:pPr>
      <w:r>
        <w:rPr>
          <w:rFonts w:hint="eastAsia" w:hAnsi="宋体" w:cs="宋体"/>
        </w:rPr>
        <w:t>及时清除污染的培养材料。</w:t>
      </w:r>
    </w:p>
    <w:p>
      <w:pPr>
        <w:pStyle w:val="169"/>
      </w:pPr>
      <w:r>
        <w:rPr>
          <w:rFonts w:hint="eastAsia" w:hAnsi="宋体" w:cs="宋体"/>
        </w:rPr>
        <w:t>培养周期为20</w:t>
      </w:r>
      <w:r>
        <w:rPr>
          <w:rFonts w:hint="eastAsia" w:hAnsi="宋体" w:cs="宋体"/>
          <w:vertAlign w:val="superscript"/>
        </w:rPr>
        <w:t xml:space="preserve"> </w:t>
      </w:r>
      <w:r>
        <w:rPr>
          <w:rFonts w:hint="eastAsia" w:hAnsi="宋体"/>
          <w:color w:val="000000"/>
          <w:szCs w:val="21"/>
        </w:rPr>
        <w:t>d</w:t>
      </w:r>
      <w:r>
        <w:rPr>
          <w:rFonts w:hint="eastAsia" w:hAnsi="宋体" w:cs="宋体"/>
        </w:rPr>
        <w:t>～25</w:t>
      </w:r>
      <w:r>
        <w:rPr>
          <w:rFonts w:hint="eastAsia" w:hAnsi="宋体" w:cs="宋体"/>
          <w:vertAlign w:val="superscript"/>
        </w:rPr>
        <w:t xml:space="preserve"> </w:t>
      </w:r>
      <w:r>
        <w:rPr>
          <w:rFonts w:hint="eastAsia" w:hAnsi="宋体" w:cs="宋体"/>
        </w:rPr>
        <w:t>d。</w:t>
      </w:r>
    </w:p>
    <w:p>
      <w:pPr>
        <w:pStyle w:val="96"/>
        <w:spacing w:before="120" w:after="120"/>
      </w:pPr>
      <w:r>
        <w:rPr>
          <w:rFonts w:hint="eastAsia"/>
        </w:rPr>
        <w:t>增殖培养</w:t>
      </w:r>
    </w:p>
    <w:p>
      <w:pPr>
        <w:pStyle w:val="58"/>
        <w:ind w:firstLine="420"/>
      </w:pPr>
      <w:r>
        <w:rPr>
          <w:rFonts w:hint="eastAsia"/>
        </w:rPr>
        <w:t>接种后先进行暗培养4</w:t>
      </w:r>
      <w:r>
        <w:rPr>
          <w:rFonts w:hint="eastAsia"/>
          <w:vertAlign w:val="superscript"/>
        </w:rPr>
        <w:t xml:space="preserve"> </w:t>
      </w:r>
      <w:r>
        <w:rPr>
          <w:rFonts w:hint="eastAsia"/>
        </w:rPr>
        <w:t>d～5</w:t>
      </w:r>
      <w:r>
        <w:rPr>
          <w:rFonts w:hint="eastAsia"/>
          <w:vertAlign w:val="superscript"/>
        </w:rPr>
        <w:t xml:space="preserve"> </w:t>
      </w:r>
      <w:r>
        <w:rPr>
          <w:rFonts w:hint="eastAsia"/>
        </w:rPr>
        <w:t>d，然后进行光照培养，培养周期为15</w:t>
      </w:r>
      <w:r>
        <w:rPr>
          <w:rFonts w:hint="eastAsia"/>
          <w:vertAlign w:val="superscript"/>
        </w:rPr>
        <w:t xml:space="preserve"> </w:t>
      </w:r>
      <w:r>
        <w:rPr>
          <w:rFonts w:hint="eastAsia"/>
        </w:rPr>
        <w:t>d～20</w:t>
      </w:r>
      <w:r>
        <w:rPr>
          <w:rFonts w:hint="eastAsia"/>
          <w:vertAlign w:val="superscript"/>
        </w:rPr>
        <w:t xml:space="preserve"> </w:t>
      </w:r>
      <w:r>
        <w:rPr>
          <w:rFonts w:hint="eastAsia"/>
        </w:rPr>
        <w:t>d，其他的按5.3.7.1执行。</w:t>
      </w:r>
    </w:p>
    <w:p>
      <w:pPr>
        <w:pStyle w:val="96"/>
        <w:spacing w:before="120" w:after="120"/>
      </w:pPr>
      <w:r>
        <w:rPr>
          <w:rFonts w:hint="eastAsia"/>
        </w:rPr>
        <w:t>生根培养</w:t>
      </w:r>
    </w:p>
    <w:p>
      <w:pPr>
        <w:pStyle w:val="58"/>
        <w:ind w:firstLine="420"/>
      </w:pPr>
      <w:r>
        <w:rPr>
          <w:rFonts w:hint="eastAsia"/>
        </w:rPr>
        <w:t>接种后先进行暗培养8</w:t>
      </w:r>
      <w:r>
        <w:rPr>
          <w:rFonts w:hint="eastAsia"/>
          <w:vertAlign w:val="superscript"/>
        </w:rPr>
        <w:t xml:space="preserve"> </w:t>
      </w:r>
      <w:r>
        <w:rPr>
          <w:rFonts w:hint="eastAsia"/>
        </w:rPr>
        <w:t>d～12</w:t>
      </w:r>
      <w:r>
        <w:rPr>
          <w:rFonts w:hint="eastAsia"/>
          <w:vertAlign w:val="superscript"/>
        </w:rPr>
        <w:t xml:space="preserve"> </w:t>
      </w:r>
      <w:r>
        <w:rPr>
          <w:rFonts w:hint="eastAsia"/>
        </w:rPr>
        <w:t>d，然后进行光照培养，培养周期为25</w:t>
      </w:r>
      <w:r>
        <w:rPr>
          <w:rFonts w:hint="eastAsia"/>
          <w:vertAlign w:val="superscript"/>
        </w:rPr>
        <w:t xml:space="preserve"> </w:t>
      </w:r>
      <w:r>
        <w:rPr>
          <w:rFonts w:hint="eastAsia"/>
        </w:rPr>
        <w:t>d～30</w:t>
      </w:r>
      <w:r>
        <w:rPr>
          <w:rFonts w:hint="eastAsia"/>
          <w:vertAlign w:val="superscript"/>
        </w:rPr>
        <w:t xml:space="preserve"> </w:t>
      </w:r>
      <w:r>
        <w:rPr>
          <w:rFonts w:hint="eastAsia"/>
        </w:rPr>
        <w:t>d，其他的按5.3.7.1执行。</w:t>
      </w:r>
    </w:p>
    <w:p>
      <w:pPr>
        <w:pStyle w:val="96"/>
        <w:spacing w:before="120" w:after="120"/>
      </w:pPr>
      <w:r>
        <w:rPr>
          <w:rFonts w:hint="eastAsia"/>
        </w:rPr>
        <w:t>生根瓶苗炼苗</w:t>
      </w:r>
    </w:p>
    <w:p>
      <w:pPr>
        <w:pStyle w:val="58"/>
        <w:ind w:firstLine="420"/>
      </w:pPr>
      <w:r>
        <w:rPr>
          <w:rFonts w:hint="eastAsia"/>
        </w:rPr>
        <w:t>生根瓶苗培养一个周期后，瓶苗根长5</w:t>
      </w:r>
      <w:r>
        <w:rPr>
          <w:vertAlign w:val="superscript"/>
        </w:rPr>
        <w:t xml:space="preserve"> </w:t>
      </w:r>
      <w:r>
        <w:t>mm</w:t>
      </w:r>
      <w:r>
        <w:rPr>
          <w:rFonts w:hint="eastAsia" w:hAnsi="宋体" w:cs="宋体"/>
        </w:rPr>
        <w:t>～10</w:t>
      </w:r>
      <w:r>
        <w:rPr>
          <w:rFonts w:hAnsi="宋体" w:cs="宋体"/>
          <w:vertAlign w:val="superscript"/>
        </w:rPr>
        <w:t xml:space="preserve"> </w:t>
      </w:r>
      <w:r>
        <w:rPr>
          <w:rFonts w:hint="eastAsia" w:hAnsi="宋体" w:cs="宋体"/>
        </w:rPr>
        <w:t>mm、根数3条以上即可</w:t>
      </w:r>
      <w:r>
        <w:rPr>
          <w:rFonts w:hint="eastAsia"/>
        </w:rPr>
        <w:t>将瓶苗转入全光照的大棚内练苗。练苗10</w:t>
      </w:r>
      <w:r>
        <w:rPr>
          <w:rFonts w:hint="eastAsia"/>
          <w:vertAlign w:val="superscript"/>
        </w:rPr>
        <w:t xml:space="preserve"> </w:t>
      </w:r>
      <w:r>
        <w:rPr>
          <w:rFonts w:hint="eastAsia"/>
        </w:rPr>
        <w:t>d～15</w:t>
      </w:r>
      <w:r>
        <w:rPr>
          <w:rFonts w:hint="eastAsia"/>
          <w:vertAlign w:val="superscript"/>
        </w:rPr>
        <w:t xml:space="preserve"> </w:t>
      </w:r>
      <w:r>
        <w:rPr>
          <w:rFonts w:hint="eastAsia"/>
        </w:rPr>
        <w:t>d后打开瓶盖，继续练苗2</w:t>
      </w:r>
      <w:r>
        <w:rPr>
          <w:rFonts w:hint="eastAsia"/>
          <w:vertAlign w:val="superscript"/>
        </w:rPr>
        <w:t xml:space="preserve"> </w:t>
      </w:r>
      <w:r>
        <w:rPr>
          <w:rFonts w:hint="eastAsia"/>
        </w:rPr>
        <w:t>d～4</w:t>
      </w:r>
      <w:r>
        <w:rPr>
          <w:rFonts w:hint="eastAsia"/>
          <w:vertAlign w:val="superscript"/>
        </w:rPr>
        <w:t xml:space="preserve"> </w:t>
      </w:r>
      <w:r>
        <w:rPr>
          <w:rFonts w:hint="eastAsia"/>
        </w:rPr>
        <w:t>d。</w:t>
      </w:r>
    </w:p>
    <w:p>
      <w:pPr>
        <w:pStyle w:val="96"/>
        <w:spacing w:before="120" w:after="120"/>
      </w:pPr>
      <w:r>
        <w:rPr>
          <w:rFonts w:hint="eastAsia"/>
        </w:rPr>
        <w:t>生根瓶苗质量要求</w:t>
      </w:r>
    </w:p>
    <w:p>
      <w:pPr>
        <w:pStyle w:val="58"/>
        <w:ind w:firstLine="420"/>
      </w:pPr>
      <w:r>
        <w:rPr>
          <w:rFonts w:hint="eastAsia"/>
        </w:rPr>
        <w:t>按LY/T 1770—2008中8.4.2规定的合格瓶苗要求执行。</w:t>
      </w:r>
    </w:p>
    <w:p>
      <w:pPr>
        <w:pStyle w:val="96"/>
        <w:spacing w:before="120" w:after="120"/>
      </w:pPr>
      <w:r>
        <w:rPr>
          <w:rFonts w:hint="eastAsia"/>
        </w:rPr>
        <w:t>瓶苗的清洗、包装和运输</w:t>
      </w:r>
    </w:p>
    <w:p>
      <w:pPr>
        <w:pStyle w:val="169"/>
      </w:pPr>
      <w:r>
        <w:rPr>
          <w:rFonts w:hint="eastAsia"/>
        </w:rPr>
        <w:t>练苗结束后，从培养器皿取出生根小苗，用清水清洗附着在根部的培养基，整齐的摆放在盛有少许水的容器中，随洗随移。</w:t>
      </w:r>
    </w:p>
    <w:p>
      <w:pPr>
        <w:pStyle w:val="169"/>
      </w:pPr>
      <w:r>
        <w:rPr>
          <w:rFonts w:hint="eastAsia"/>
        </w:rPr>
        <w:t>如需要长途运输，将洗净的小苗整齐的直立摆放在保鲜盒或泡沫箱内，容器高至少为小苗高的4倍及以上，盖上盖子，用封口胶密封四周。</w:t>
      </w:r>
    </w:p>
    <w:p>
      <w:pPr>
        <w:pStyle w:val="169"/>
      </w:pPr>
      <w:r>
        <w:rPr>
          <w:rFonts w:hint="eastAsia"/>
        </w:rPr>
        <w:t>运输过程中保持容器直立不倾斜、不翻转。</w:t>
      </w:r>
    </w:p>
    <w:p>
      <w:pPr>
        <w:pStyle w:val="67"/>
        <w:spacing w:before="120" w:after="120"/>
      </w:pPr>
      <w:r>
        <w:rPr>
          <w:rFonts w:hint="eastAsia"/>
        </w:rPr>
        <w:t>瓶苗移栽</w:t>
      </w:r>
    </w:p>
    <w:p>
      <w:pPr>
        <w:pStyle w:val="96"/>
        <w:spacing w:before="120" w:after="120"/>
      </w:pPr>
      <w:r>
        <w:rPr>
          <w:rFonts w:hint="eastAsia"/>
        </w:rPr>
        <w:t>基质的配置</w:t>
      </w:r>
    </w:p>
    <w:p>
      <w:pPr>
        <w:pStyle w:val="58"/>
        <w:ind w:firstLine="420"/>
      </w:pPr>
      <w:r>
        <w:rPr>
          <w:rFonts w:hint="eastAsia"/>
        </w:rPr>
        <w:t>按5.1.6.1要求执行。</w:t>
      </w:r>
    </w:p>
    <w:p>
      <w:pPr>
        <w:pStyle w:val="96"/>
        <w:spacing w:before="120" w:after="120"/>
      </w:pPr>
      <w:r>
        <w:rPr>
          <w:rFonts w:hint="eastAsia"/>
        </w:rPr>
        <w:t>容器选择</w:t>
      </w:r>
    </w:p>
    <w:p>
      <w:pPr>
        <w:pStyle w:val="58"/>
        <w:ind w:firstLine="420"/>
      </w:pPr>
      <w:r>
        <w:rPr>
          <w:rFonts w:hint="eastAsia"/>
        </w:rPr>
        <w:t>按5.1.6.2要求执行。</w:t>
      </w:r>
    </w:p>
    <w:p>
      <w:pPr>
        <w:pStyle w:val="96"/>
        <w:spacing w:before="120" w:after="120"/>
      </w:pPr>
      <w:r>
        <w:rPr>
          <w:rFonts w:hint="eastAsia"/>
        </w:rPr>
        <w:t>瓶苗移栽</w:t>
      </w:r>
    </w:p>
    <w:p>
      <w:pPr>
        <w:pStyle w:val="58"/>
        <w:ind w:firstLine="420"/>
      </w:pPr>
      <w:r>
        <w:rPr>
          <w:rFonts w:hint="eastAsia"/>
        </w:rPr>
        <w:t>移栽前</w:t>
      </w:r>
      <w:r>
        <w:t>移苗前一天用0.</w:t>
      </w:r>
      <w:r>
        <w:rPr>
          <w:rFonts w:hint="eastAsia"/>
        </w:rPr>
        <w:t>5</w:t>
      </w:r>
      <w:r>
        <w:t>％KMnO</w:t>
      </w:r>
      <w:r>
        <w:rPr>
          <w:vertAlign w:val="subscript"/>
        </w:rPr>
        <w:t>4</w:t>
      </w:r>
      <w:r>
        <w:rPr>
          <w:rFonts w:hint="eastAsia"/>
        </w:rPr>
        <w:t>溶液</w:t>
      </w:r>
      <w:r>
        <w:t>对基质进行消毒，移栽前再用清水淋透基质。</w:t>
      </w:r>
      <w:r>
        <w:rPr>
          <w:rFonts w:hint="eastAsia"/>
        </w:rPr>
        <w:t>将清洗好的组培瓶苗用镊子轻轻夹住根部直接插入移栽基质内，压实基质，淋透定根水。</w:t>
      </w:r>
    </w:p>
    <w:p>
      <w:pPr>
        <w:pStyle w:val="67"/>
        <w:spacing w:before="120" w:after="120"/>
      </w:pPr>
      <w:r>
        <w:rPr>
          <w:rFonts w:hint="eastAsia"/>
        </w:rPr>
        <w:t>移栽后水肥及光照管理</w:t>
      </w:r>
    </w:p>
    <w:p>
      <w:pPr>
        <w:pStyle w:val="58"/>
        <w:ind w:firstLine="420"/>
      </w:pPr>
      <w:r>
        <w:rPr>
          <w:rFonts w:hint="eastAsia"/>
        </w:rPr>
        <w:t>按5.2.4.4要求执行。</w:t>
      </w:r>
    </w:p>
    <w:p>
      <w:pPr>
        <w:pStyle w:val="107"/>
        <w:spacing w:before="120" w:after="120"/>
      </w:pPr>
      <w:r>
        <w:rPr>
          <w:rFonts w:hint="eastAsia"/>
        </w:rPr>
        <w:t>病虫害防治</w:t>
      </w:r>
    </w:p>
    <w:p>
      <w:pPr>
        <w:pStyle w:val="58"/>
        <w:ind w:firstLine="420"/>
      </w:pPr>
      <w:r>
        <w:rPr>
          <w:rFonts w:hint="eastAsia"/>
        </w:rPr>
        <w:t>按DB45/T 1777—2018中的规定执行。</w:t>
      </w:r>
    </w:p>
    <w:p>
      <w:pPr>
        <w:pStyle w:val="106"/>
        <w:spacing w:before="240" w:after="240"/>
      </w:pPr>
      <w:r>
        <w:rPr>
          <w:rFonts w:hint="eastAsia"/>
        </w:rPr>
        <w:t>苗木质量</w:t>
      </w:r>
    </w:p>
    <w:p>
      <w:pPr>
        <w:pStyle w:val="58"/>
        <w:ind w:firstLine="420"/>
        <w:rPr>
          <w:rFonts w:hAnsi="宋体"/>
        </w:rPr>
      </w:pPr>
      <w:r>
        <w:rPr>
          <w:rFonts w:hint="eastAsia" w:hAnsi="宋体"/>
        </w:rPr>
        <w:t>苗木</w:t>
      </w:r>
      <w:r>
        <w:rPr>
          <w:rFonts w:hAnsi="宋体"/>
        </w:rPr>
        <w:t>移栽</w:t>
      </w:r>
      <w:r>
        <w:rPr>
          <w:rFonts w:hint="eastAsia" w:hAnsi="宋体"/>
        </w:rPr>
        <w:t>或扦插</w:t>
      </w:r>
      <w:r>
        <w:rPr>
          <w:rFonts w:hAnsi="宋体"/>
        </w:rPr>
        <w:t>后</w:t>
      </w:r>
      <w:r>
        <w:rPr>
          <w:rFonts w:hint="eastAsia" w:hAnsi="宋体"/>
        </w:rPr>
        <w:t>6</w:t>
      </w:r>
      <w:r>
        <w:rPr>
          <w:rFonts w:hAnsi="宋体"/>
        </w:rPr>
        <w:t>0</w:t>
      </w:r>
      <w:r>
        <w:rPr>
          <w:rFonts w:hint="eastAsia" w:hAnsi="宋体"/>
          <w:vertAlign w:val="superscript"/>
        </w:rPr>
        <w:t xml:space="preserve"> </w:t>
      </w:r>
      <w:r>
        <w:rPr>
          <w:rFonts w:hint="eastAsia" w:hAnsi="宋体"/>
        </w:rPr>
        <w:t>d</w:t>
      </w:r>
      <w:r>
        <w:rPr>
          <w:rFonts w:hAnsi="宋体"/>
          <w:color w:val="000000"/>
          <w:szCs w:val="21"/>
        </w:rPr>
        <w:t>～</w:t>
      </w:r>
      <w:r>
        <w:rPr>
          <w:rFonts w:hAnsi="宋体"/>
        </w:rPr>
        <w:t>1</w:t>
      </w:r>
      <w:r>
        <w:rPr>
          <w:rFonts w:hint="eastAsia" w:hAnsi="宋体"/>
        </w:rPr>
        <w:t>5</w:t>
      </w:r>
      <w:r>
        <w:rPr>
          <w:rFonts w:hAnsi="宋体"/>
        </w:rPr>
        <w:t>0</w:t>
      </w:r>
      <w:r>
        <w:rPr>
          <w:rFonts w:hint="eastAsia" w:hAnsi="宋体"/>
          <w:vertAlign w:val="superscript"/>
        </w:rPr>
        <w:t xml:space="preserve"> </w:t>
      </w:r>
      <w:r>
        <w:rPr>
          <w:rFonts w:hint="eastAsia" w:hAnsi="宋体"/>
        </w:rPr>
        <w:t>d</w:t>
      </w:r>
      <w:r>
        <w:rPr>
          <w:rFonts w:hAnsi="宋体"/>
        </w:rPr>
        <w:t>，</w:t>
      </w:r>
      <w:r>
        <w:rPr>
          <w:rFonts w:hint="eastAsia" w:hAnsi="宋体"/>
        </w:rPr>
        <w:t>达到Ⅰ级苗或Ⅱ级苗为合格苗，可出圃造林，具体苗木分级见表1。</w:t>
      </w:r>
    </w:p>
    <w:p>
      <w:pPr>
        <w:pStyle w:val="114"/>
        <w:spacing w:before="120" w:after="120"/>
      </w:pPr>
      <w:r>
        <w:rPr>
          <w:rFonts w:hint="eastAsia"/>
        </w:rPr>
        <w:t>按苗出圃质量要求</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909"/>
        <w:gridCol w:w="1909"/>
        <w:gridCol w:w="1838"/>
        <w:gridCol w:w="1838"/>
        <w:gridCol w:w="184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909" w:type="dxa"/>
            <w:tcBorders>
              <w:top w:val="single" w:color="auto" w:sz="8" w:space="0"/>
              <w:bottom w:val="single" w:color="auto" w:sz="8" w:space="0"/>
            </w:tcBorders>
            <w:shd w:val="clear" w:color="auto" w:fill="auto"/>
            <w:vAlign w:val="center"/>
          </w:tcPr>
          <w:p>
            <w:pPr>
              <w:pStyle w:val="180"/>
            </w:pPr>
            <w:r>
              <w:rPr>
                <w:rFonts w:hint="eastAsia"/>
              </w:rPr>
              <w:t>类别</w:t>
            </w:r>
          </w:p>
        </w:tc>
        <w:tc>
          <w:tcPr>
            <w:tcW w:w="1909" w:type="dxa"/>
            <w:tcBorders>
              <w:top w:val="single" w:color="auto" w:sz="8" w:space="0"/>
              <w:bottom w:val="single" w:color="auto" w:sz="8" w:space="0"/>
            </w:tcBorders>
            <w:shd w:val="clear" w:color="auto" w:fill="auto"/>
            <w:vAlign w:val="center"/>
          </w:tcPr>
          <w:p>
            <w:pPr>
              <w:pStyle w:val="180"/>
            </w:pPr>
            <w:r>
              <w:rPr>
                <w:rFonts w:hint="eastAsia"/>
              </w:rPr>
              <w:t>项目</w:t>
            </w:r>
          </w:p>
        </w:tc>
        <w:tc>
          <w:tcPr>
            <w:tcW w:w="1838" w:type="dxa"/>
            <w:tcBorders>
              <w:top w:val="single" w:color="auto" w:sz="8" w:space="0"/>
              <w:bottom w:val="single" w:color="auto" w:sz="8" w:space="0"/>
            </w:tcBorders>
          </w:tcPr>
          <w:p>
            <w:pPr>
              <w:pStyle w:val="180"/>
            </w:pPr>
            <w:r>
              <w:rPr>
                <w:rFonts w:hint="eastAsia"/>
              </w:rPr>
              <w:t>苗高</w:t>
            </w:r>
          </w:p>
        </w:tc>
        <w:tc>
          <w:tcPr>
            <w:tcW w:w="1838" w:type="dxa"/>
            <w:tcBorders>
              <w:top w:val="single" w:color="auto" w:sz="8" w:space="0"/>
              <w:bottom w:val="single" w:color="auto" w:sz="8" w:space="0"/>
            </w:tcBorders>
          </w:tcPr>
          <w:p>
            <w:pPr>
              <w:pStyle w:val="180"/>
            </w:pPr>
            <w:r>
              <w:rPr>
                <w:rFonts w:hint="eastAsia"/>
              </w:rPr>
              <w:t>地径</w:t>
            </w:r>
          </w:p>
        </w:tc>
        <w:tc>
          <w:tcPr>
            <w:tcW w:w="1840" w:type="dxa"/>
            <w:tcBorders>
              <w:top w:val="single" w:color="auto" w:sz="8" w:space="0"/>
              <w:bottom w:val="single" w:color="auto" w:sz="8" w:space="0"/>
            </w:tcBorders>
            <w:shd w:val="clear" w:color="auto" w:fill="auto"/>
            <w:vAlign w:val="center"/>
          </w:tcPr>
          <w:p>
            <w:pPr>
              <w:pStyle w:val="180"/>
            </w:pPr>
            <w:r>
              <w:rPr>
                <w:rFonts w:hint="eastAsia"/>
              </w:rPr>
              <w:t>苗高概况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09" w:type="dxa"/>
            <w:vMerge w:val="restart"/>
            <w:tcBorders>
              <w:top w:val="single" w:color="auto" w:sz="8" w:space="0"/>
            </w:tcBorders>
            <w:shd w:val="clear" w:color="auto" w:fill="auto"/>
            <w:vAlign w:val="center"/>
          </w:tcPr>
          <w:p>
            <w:pPr>
              <w:pStyle w:val="180"/>
            </w:pPr>
            <w:r>
              <w:rPr>
                <w:rFonts w:hint="eastAsia"/>
              </w:rPr>
              <w:t>实生苗</w:t>
            </w:r>
          </w:p>
        </w:tc>
        <w:tc>
          <w:tcPr>
            <w:tcW w:w="1909" w:type="dxa"/>
            <w:tcBorders>
              <w:top w:val="single" w:color="auto" w:sz="8" w:space="0"/>
            </w:tcBorders>
            <w:shd w:val="clear" w:color="auto" w:fill="auto"/>
            <w:vAlign w:val="center"/>
          </w:tcPr>
          <w:p>
            <w:pPr>
              <w:pStyle w:val="236"/>
              <w:ind w:firstLine="0" w:firstLineChars="0"/>
              <w:jc w:val="center"/>
              <w:rPr>
                <w:rFonts w:hAnsi="宋体"/>
                <w:sz w:val="18"/>
                <w:szCs w:val="18"/>
              </w:rPr>
            </w:pPr>
            <w:r>
              <w:rPr>
                <w:rFonts w:hint="eastAsia" w:hAnsi="宋体"/>
                <w:sz w:val="18"/>
                <w:szCs w:val="18"/>
              </w:rPr>
              <w:t>Ⅰ级苗</w:t>
            </w:r>
          </w:p>
        </w:tc>
        <w:tc>
          <w:tcPr>
            <w:tcW w:w="1838" w:type="dxa"/>
            <w:tcBorders>
              <w:top w:val="single" w:color="auto" w:sz="8" w:space="0"/>
            </w:tcBorders>
            <w:vAlign w:val="center"/>
          </w:tcPr>
          <w:p>
            <w:pPr>
              <w:pStyle w:val="236"/>
              <w:ind w:firstLine="0" w:firstLineChars="0"/>
              <w:jc w:val="center"/>
              <w:rPr>
                <w:rFonts w:hAnsi="宋体"/>
                <w:sz w:val="18"/>
                <w:szCs w:val="18"/>
              </w:rPr>
            </w:pPr>
            <w:r>
              <w:rPr>
                <w:rFonts w:hint="eastAsia" w:hAnsi="宋体"/>
                <w:sz w:val="18"/>
                <w:szCs w:val="18"/>
              </w:rPr>
              <w:t>25</w:t>
            </w:r>
            <w:r>
              <w:rPr>
                <w:rFonts w:hint="eastAsia" w:hAnsi="宋体"/>
                <w:sz w:val="18"/>
                <w:szCs w:val="18"/>
                <w:vertAlign w:val="superscript"/>
              </w:rPr>
              <w:t xml:space="preserve"> </w:t>
            </w:r>
            <w:r>
              <w:rPr>
                <w:rFonts w:hint="eastAsia" w:hAnsi="宋体"/>
                <w:sz w:val="18"/>
                <w:szCs w:val="18"/>
              </w:rPr>
              <w:t>cm</w:t>
            </w:r>
            <w:r>
              <w:rPr>
                <w:rFonts w:hAnsi="宋体"/>
                <w:color w:val="000000"/>
                <w:sz w:val="18"/>
                <w:szCs w:val="18"/>
              </w:rPr>
              <w:t>～</w:t>
            </w:r>
            <w:r>
              <w:rPr>
                <w:rFonts w:hint="eastAsia" w:hAnsi="宋体"/>
                <w:sz w:val="18"/>
                <w:szCs w:val="18"/>
              </w:rPr>
              <w:t>30</w:t>
            </w:r>
            <w:r>
              <w:rPr>
                <w:rFonts w:hint="eastAsia" w:hAnsi="宋体"/>
                <w:sz w:val="18"/>
                <w:szCs w:val="18"/>
                <w:vertAlign w:val="superscript"/>
              </w:rPr>
              <w:t xml:space="preserve"> </w:t>
            </w:r>
            <w:r>
              <w:rPr>
                <w:rFonts w:hint="eastAsia" w:hAnsi="宋体"/>
                <w:sz w:val="18"/>
                <w:szCs w:val="18"/>
              </w:rPr>
              <w:t>cm</w:t>
            </w:r>
          </w:p>
        </w:tc>
        <w:tc>
          <w:tcPr>
            <w:tcW w:w="1838" w:type="dxa"/>
            <w:tcBorders>
              <w:top w:val="single" w:color="auto" w:sz="8" w:space="0"/>
            </w:tcBorders>
            <w:vAlign w:val="center"/>
          </w:tcPr>
          <w:p>
            <w:pPr>
              <w:pStyle w:val="236"/>
              <w:ind w:firstLine="0" w:firstLineChars="0"/>
              <w:jc w:val="center"/>
              <w:rPr>
                <w:rFonts w:hAnsi="宋体"/>
                <w:sz w:val="18"/>
                <w:szCs w:val="18"/>
              </w:rPr>
            </w:pPr>
            <w:r>
              <w:rPr>
                <w:rFonts w:hint="eastAsia" w:hAnsi="宋体"/>
                <w:sz w:val="18"/>
                <w:szCs w:val="18"/>
              </w:rPr>
              <w:t>≥2</w:t>
            </w:r>
            <w:r>
              <w:rPr>
                <w:rFonts w:hint="eastAsia" w:hAnsi="宋体"/>
                <w:sz w:val="18"/>
                <w:szCs w:val="18"/>
                <w:vertAlign w:val="superscript"/>
              </w:rPr>
              <w:t xml:space="preserve"> </w:t>
            </w:r>
            <w:r>
              <w:rPr>
                <w:rFonts w:hint="eastAsia" w:hAnsi="宋体"/>
                <w:sz w:val="18"/>
                <w:szCs w:val="18"/>
              </w:rPr>
              <w:t>mm</w:t>
            </w:r>
          </w:p>
        </w:tc>
        <w:tc>
          <w:tcPr>
            <w:tcW w:w="1840" w:type="dxa"/>
            <w:vMerge w:val="restart"/>
            <w:tcBorders>
              <w:top w:val="single" w:color="auto" w:sz="8" w:space="0"/>
            </w:tcBorders>
            <w:shd w:val="clear" w:color="auto" w:fill="auto"/>
            <w:vAlign w:val="center"/>
          </w:tcPr>
          <w:p>
            <w:pPr>
              <w:pStyle w:val="180"/>
            </w:pPr>
            <w:r>
              <w:rPr>
                <w:rFonts w:hint="eastAsia" w:hAnsi="宋体"/>
                <w:szCs w:val="18"/>
              </w:rPr>
              <w:t>叶色正常、生长健壮、单一顶芽、无病虫害。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09" w:type="dxa"/>
            <w:vMerge w:val="continue"/>
            <w:shd w:val="clear" w:color="auto" w:fill="auto"/>
            <w:vAlign w:val="center"/>
          </w:tcPr>
          <w:p>
            <w:pPr>
              <w:pStyle w:val="180"/>
            </w:pPr>
          </w:p>
        </w:tc>
        <w:tc>
          <w:tcPr>
            <w:tcW w:w="1909" w:type="dxa"/>
            <w:shd w:val="clear" w:color="auto" w:fill="auto"/>
            <w:vAlign w:val="center"/>
          </w:tcPr>
          <w:p>
            <w:pPr>
              <w:pStyle w:val="236"/>
              <w:ind w:firstLine="0" w:firstLineChars="0"/>
              <w:jc w:val="center"/>
              <w:rPr>
                <w:rFonts w:hAnsi="宋体"/>
                <w:sz w:val="18"/>
                <w:szCs w:val="18"/>
              </w:rPr>
            </w:pPr>
            <w:r>
              <w:rPr>
                <w:rFonts w:hint="eastAsia" w:hAnsi="宋体"/>
                <w:sz w:val="18"/>
                <w:szCs w:val="18"/>
              </w:rPr>
              <w:t>Ⅱ级苗</w:t>
            </w:r>
          </w:p>
        </w:tc>
        <w:tc>
          <w:tcPr>
            <w:tcW w:w="1838" w:type="dxa"/>
            <w:vAlign w:val="center"/>
          </w:tcPr>
          <w:p>
            <w:pPr>
              <w:pStyle w:val="236"/>
              <w:ind w:firstLine="0" w:firstLineChars="0"/>
              <w:jc w:val="center"/>
              <w:rPr>
                <w:rFonts w:hAnsi="宋体"/>
                <w:sz w:val="18"/>
                <w:szCs w:val="18"/>
              </w:rPr>
            </w:pPr>
            <w:r>
              <w:rPr>
                <w:rFonts w:hint="eastAsia" w:hAnsi="宋体"/>
                <w:sz w:val="18"/>
                <w:szCs w:val="18"/>
              </w:rPr>
              <w:t>20</w:t>
            </w:r>
            <w:r>
              <w:rPr>
                <w:rFonts w:hint="eastAsia" w:hAnsi="宋体"/>
                <w:sz w:val="18"/>
                <w:szCs w:val="18"/>
                <w:vertAlign w:val="superscript"/>
              </w:rPr>
              <w:t xml:space="preserve"> </w:t>
            </w:r>
            <w:r>
              <w:rPr>
                <w:rFonts w:hint="eastAsia" w:hAnsi="宋体"/>
                <w:sz w:val="18"/>
                <w:szCs w:val="18"/>
              </w:rPr>
              <w:t>cm</w:t>
            </w:r>
            <w:r>
              <w:rPr>
                <w:rFonts w:hAnsi="宋体"/>
                <w:color w:val="000000"/>
                <w:sz w:val="18"/>
                <w:szCs w:val="18"/>
              </w:rPr>
              <w:t>～</w:t>
            </w:r>
            <w:r>
              <w:rPr>
                <w:rFonts w:hint="eastAsia" w:hAnsi="宋体"/>
                <w:sz w:val="18"/>
                <w:szCs w:val="18"/>
              </w:rPr>
              <w:t>24</w:t>
            </w:r>
            <w:r>
              <w:rPr>
                <w:rFonts w:hint="eastAsia" w:hAnsi="宋体"/>
                <w:sz w:val="18"/>
                <w:szCs w:val="18"/>
                <w:vertAlign w:val="superscript"/>
              </w:rPr>
              <w:t xml:space="preserve"> </w:t>
            </w:r>
            <w:r>
              <w:rPr>
                <w:rFonts w:hint="eastAsia" w:hAnsi="宋体"/>
                <w:sz w:val="18"/>
                <w:szCs w:val="18"/>
              </w:rPr>
              <w:t>cm</w:t>
            </w:r>
          </w:p>
        </w:tc>
        <w:tc>
          <w:tcPr>
            <w:tcW w:w="1838" w:type="dxa"/>
            <w:vAlign w:val="center"/>
          </w:tcPr>
          <w:p>
            <w:pPr>
              <w:pStyle w:val="236"/>
              <w:ind w:firstLine="0" w:firstLineChars="0"/>
              <w:jc w:val="center"/>
              <w:rPr>
                <w:rFonts w:hAnsi="宋体"/>
                <w:sz w:val="18"/>
                <w:szCs w:val="18"/>
              </w:rPr>
            </w:pPr>
            <w:r>
              <w:rPr>
                <w:rFonts w:hint="eastAsia" w:hAnsi="宋体"/>
                <w:sz w:val="18"/>
                <w:szCs w:val="18"/>
              </w:rPr>
              <w:t>1.8</w:t>
            </w:r>
            <w:r>
              <w:rPr>
                <w:rFonts w:hint="eastAsia" w:hAnsi="宋体"/>
                <w:sz w:val="18"/>
                <w:szCs w:val="18"/>
                <w:vertAlign w:val="superscript"/>
              </w:rPr>
              <w:t xml:space="preserve"> </w:t>
            </w:r>
            <w:r>
              <w:rPr>
                <w:rFonts w:hint="eastAsia" w:hAnsi="宋体"/>
                <w:sz w:val="18"/>
                <w:szCs w:val="18"/>
              </w:rPr>
              <w:t>mm</w:t>
            </w:r>
            <w:r>
              <w:rPr>
                <w:rFonts w:hint="eastAsia" w:hAnsi="宋体"/>
                <w:color w:val="000000"/>
                <w:sz w:val="18"/>
                <w:szCs w:val="18"/>
              </w:rPr>
              <w:t>～</w:t>
            </w:r>
            <w:r>
              <w:rPr>
                <w:rFonts w:hint="eastAsia" w:hAnsi="宋体"/>
                <w:sz w:val="18"/>
                <w:szCs w:val="18"/>
              </w:rPr>
              <w:t>1.9</w:t>
            </w:r>
            <w:r>
              <w:rPr>
                <w:rFonts w:hint="eastAsia" w:hAnsi="宋体"/>
                <w:sz w:val="18"/>
                <w:szCs w:val="18"/>
                <w:vertAlign w:val="superscript"/>
              </w:rPr>
              <w:t xml:space="preserve"> </w:t>
            </w:r>
            <w:r>
              <w:rPr>
                <w:rFonts w:hint="eastAsia" w:hAnsi="宋体"/>
                <w:sz w:val="18"/>
                <w:szCs w:val="18"/>
              </w:rPr>
              <w:t>mm</w:t>
            </w:r>
          </w:p>
        </w:tc>
        <w:tc>
          <w:tcPr>
            <w:tcW w:w="1840" w:type="dxa"/>
            <w:vMerge w:val="continue"/>
            <w:shd w:val="clear" w:color="auto" w:fill="auto"/>
            <w:vAlign w:val="center"/>
          </w:tcPr>
          <w:p>
            <w:pPr>
              <w:pStyle w:val="18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09" w:type="dxa"/>
            <w:vMerge w:val="restart"/>
            <w:shd w:val="clear" w:color="auto" w:fill="auto"/>
            <w:vAlign w:val="center"/>
          </w:tcPr>
          <w:p>
            <w:pPr>
              <w:pStyle w:val="180"/>
            </w:pPr>
            <w:r>
              <w:rPr>
                <w:rFonts w:hint="eastAsia"/>
              </w:rPr>
              <w:t>扦插苗</w:t>
            </w:r>
          </w:p>
        </w:tc>
        <w:tc>
          <w:tcPr>
            <w:tcW w:w="1909" w:type="dxa"/>
            <w:shd w:val="clear" w:color="auto" w:fill="auto"/>
            <w:vAlign w:val="center"/>
          </w:tcPr>
          <w:p>
            <w:pPr>
              <w:pStyle w:val="236"/>
              <w:ind w:firstLine="0" w:firstLineChars="0"/>
              <w:jc w:val="center"/>
              <w:rPr>
                <w:rFonts w:hAnsi="宋体"/>
                <w:sz w:val="18"/>
                <w:szCs w:val="18"/>
              </w:rPr>
            </w:pPr>
            <w:r>
              <w:rPr>
                <w:rFonts w:hint="eastAsia" w:hAnsi="宋体"/>
                <w:sz w:val="18"/>
                <w:szCs w:val="18"/>
              </w:rPr>
              <w:t>Ⅰ级苗</w:t>
            </w:r>
          </w:p>
        </w:tc>
        <w:tc>
          <w:tcPr>
            <w:tcW w:w="1838" w:type="dxa"/>
            <w:vAlign w:val="center"/>
          </w:tcPr>
          <w:p>
            <w:pPr>
              <w:pStyle w:val="236"/>
              <w:ind w:firstLine="0" w:firstLineChars="0"/>
              <w:jc w:val="center"/>
              <w:rPr>
                <w:rFonts w:hAnsi="宋体"/>
                <w:sz w:val="18"/>
                <w:szCs w:val="18"/>
              </w:rPr>
            </w:pPr>
            <w:r>
              <w:rPr>
                <w:rFonts w:hint="eastAsia" w:hAnsi="宋体"/>
                <w:sz w:val="18"/>
                <w:szCs w:val="18"/>
              </w:rPr>
              <w:t>30</w:t>
            </w:r>
            <w:r>
              <w:rPr>
                <w:rFonts w:hint="eastAsia" w:hAnsi="宋体"/>
                <w:sz w:val="18"/>
                <w:szCs w:val="18"/>
                <w:vertAlign w:val="superscript"/>
              </w:rPr>
              <w:t xml:space="preserve"> </w:t>
            </w:r>
            <w:r>
              <w:rPr>
                <w:rFonts w:hint="eastAsia" w:hAnsi="宋体"/>
                <w:sz w:val="18"/>
                <w:szCs w:val="18"/>
              </w:rPr>
              <w:t>cm</w:t>
            </w:r>
            <w:r>
              <w:rPr>
                <w:rFonts w:hAnsi="宋体"/>
                <w:color w:val="000000"/>
                <w:sz w:val="18"/>
                <w:szCs w:val="18"/>
              </w:rPr>
              <w:t>～</w:t>
            </w:r>
            <w:r>
              <w:rPr>
                <w:rFonts w:hint="eastAsia" w:hAnsi="宋体"/>
                <w:sz w:val="18"/>
                <w:szCs w:val="18"/>
              </w:rPr>
              <w:t>35</w:t>
            </w:r>
            <w:r>
              <w:rPr>
                <w:rFonts w:hint="eastAsia" w:hAnsi="宋体"/>
                <w:sz w:val="18"/>
                <w:szCs w:val="18"/>
                <w:vertAlign w:val="superscript"/>
              </w:rPr>
              <w:t xml:space="preserve"> </w:t>
            </w:r>
            <w:r>
              <w:rPr>
                <w:rFonts w:hint="eastAsia" w:hAnsi="宋体"/>
                <w:sz w:val="18"/>
                <w:szCs w:val="18"/>
              </w:rPr>
              <w:t>cm</w:t>
            </w:r>
          </w:p>
        </w:tc>
        <w:tc>
          <w:tcPr>
            <w:tcW w:w="1838" w:type="dxa"/>
            <w:vAlign w:val="center"/>
          </w:tcPr>
          <w:p>
            <w:pPr>
              <w:pStyle w:val="236"/>
              <w:ind w:firstLine="0" w:firstLineChars="0"/>
              <w:jc w:val="center"/>
              <w:rPr>
                <w:rFonts w:hAnsi="宋体"/>
                <w:sz w:val="18"/>
                <w:szCs w:val="18"/>
              </w:rPr>
            </w:pPr>
            <w:r>
              <w:rPr>
                <w:rFonts w:hint="eastAsia" w:hAnsi="宋体"/>
                <w:sz w:val="18"/>
                <w:szCs w:val="18"/>
              </w:rPr>
              <w:t>≥2.2</w:t>
            </w:r>
            <w:r>
              <w:rPr>
                <w:rFonts w:hint="eastAsia" w:hAnsi="宋体"/>
                <w:sz w:val="18"/>
                <w:szCs w:val="18"/>
                <w:vertAlign w:val="superscript"/>
              </w:rPr>
              <w:t xml:space="preserve"> </w:t>
            </w:r>
            <w:r>
              <w:rPr>
                <w:rFonts w:hint="eastAsia" w:hAnsi="宋体"/>
                <w:sz w:val="18"/>
                <w:szCs w:val="18"/>
              </w:rPr>
              <w:t>mm</w:t>
            </w:r>
          </w:p>
        </w:tc>
        <w:tc>
          <w:tcPr>
            <w:tcW w:w="1840" w:type="dxa"/>
            <w:vMerge w:val="continue"/>
            <w:shd w:val="clear" w:color="auto" w:fill="auto"/>
            <w:vAlign w:val="center"/>
          </w:tcPr>
          <w:p>
            <w:pPr>
              <w:pStyle w:val="18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909" w:type="dxa"/>
            <w:vMerge w:val="continue"/>
            <w:shd w:val="clear" w:color="auto" w:fill="auto"/>
            <w:vAlign w:val="center"/>
          </w:tcPr>
          <w:p>
            <w:pPr>
              <w:pStyle w:val="180"/>
            </w:pPr>
          </w:p>
        </w:tc>
        <w:tc>
          <w:tcPr>
            <w:tcW w:w="1909" w:type="dxa"/>
            <w:shd w:val="clear" w:color="auto" w:fill="auto"/>
            <w:vAlign w:val="center"/>
          </w:tcPr>
          <w:p>
            <w:pPr>
              <w:pStyle w:val="236"/>
              <w:ind w:firstLine="0" w:firstLineChars="0"/>
              <w:jc w:val="center"/>
              <w:rPr>
                <w:rFonts w:hAnsi="宋体"/>
                <w:sz w:val="18"/>
                <w:szCs w:val="18"/>
              </w:rPr>
            </w:pPr>
            <w:r>
              <w:rPr>
                <w:rFonts w:hint="eastAsia" w:hAnsi="宋体"/>
                <w:sz w:val="18"/>
                <w:szCs w:val="18"/>
              </w:rPr>
              <w:t>Ⅱ级苗</w:t>
            </w:r>
          </w:p>
        </w:tc>
        <w:tc>
          <w:tcPr>
            <w:tcW w:w="1838" w:type="dxa"/>
            <w:vAlign w:val="center"/>
          </w:tcPr>
          <w:p>
            <w:pPr>
              <w:pStyle w:val="236"/>
              <w:ind w:firstLine="0" w:firstLineChars="0"/>
              <w:jc w:val="center"/>
              <w:rPr>
                <w:rFonts w:hAnsi="宋体"/>
                <w:sz w:val="18"/>
                <w:szCs w:val="18"/>
              </w:rPr>
            </w:pPr>
            <w:r>
              <w:rPr>
                <w:rFonts w:hint="eastAsia" w:hAnsi="宋体"/>
                <w:sz w:val="18"/>
                <w:szCs w:val="18"/>
              </w:rPr>
              <w:t>25</w:t>
            </w:r>
            <w:r>
              <w:rPr>
                <w:rFonts w:hint="eastAsia" w:hAnsi="宋体"/>
                <w:sz w:val="18"/>
                <w:szCs w:val="18"/>
                <w:vertAlign w:val="superscript"/>
              </w:rPr>
              <w:t xml:space="preserve"> </w:t>
            </w:r>
            <w:r>
              <w:rPr>
                <w:rFonts w:hint="eastAsia" w:hAnsi="宋体"/>
                <w:sz w:val="18"/>
                <w:szCs w:val="18"/>
              </w:rPr>
              <w:t>cm</w:t>
            </w:r>
            <w:r>
              <w:rPr>
                <w:rFonts w:hAnsi="宋体"/>
                <w:color w:val="000000"/>
                <w:sz w:val="18"/>
                <w:szCs w:val="18"/>
              </w:rPr>
              <w:t>～</w:t>
            </w:r>
            <w:r>
              <w:rPr>
                <w:rFonts w:hint="eastAsia" w:hAnsi="宋体"/>
                <w:sz w:val="18"/>
                <w:szCs w:val="18"/>
              </w:rPr>
              <w:t>29</w:t>
            </w:r>
            <w:r>
              <w:rPr>
                <w:rFonts w:hint="eastAsia" w:hAnsi="宋体"/>
                <w:sz w:val="18"/>
                <w:szCs w:val="18"/>
                <w:vertAlign w:val="superscript"/>
              </w:rPr>
              <w:t xml:space="preserve"> </w:t>
            </w:r>
            <w:r>
              <w:rPr>
                <w:rFonts w:hint="eastAsia" w:hAnsi="宋体"/>
                <w:sz w:val="18"/>
                <w:szCs w:val="18"/>
              </w:rPr>
              <w:t>cm</w:t>
            </w:r>
          </w:p>
        </w:tc>
        <w:tc>
          <w:tcPr>
            <w:tcW w:w="1838" w:type="dxa"/>
            <w:vAlign w:val="center"/>
          </w:tcPr>
          <w:p>
            <w:pPr>
              <w:pStyle w:val="236"/>
              <w:ind w:firstLine="0" w:firstLineChars="0"/>
              <w:jc w:val="center"/>
              <w:rPr>
                <w:rFonts w:hAnsi="宋体"/>
                <w:sz w:val="18"/>
                <w:szCs w:val="18"/>
              </w:rPr>
            </w:pPr>
            <w:r>
              <w:rPr>
                <w:rFonts w:hint="eastAsia" w:hAnsi="宋体"/>
                <w:sz w:val="18"/>
                <w:szCs w:val="18"/>
              </w:rPr>
              <w:t>1.8</w:t>
            </w:r>
            <w:r>
              <w:rPr>
                <w:rFonts w:hint="eastAsia" w:hAnsi="宋体"/>
                <w:sz w:val="18"/>
                <w:szCs w:val="18"/>
                <w:vertAlign w:val="superscript"/>
              </w:rPr>
              <w:t xml:space="preserve"> </w:t>
            </w:r>
            <w:r>
              <w:rPr>
                <w:rFonts w:hint="eastAsia" w:hAnsi="宋体"/>
                <w:sz w:val="18"/>
                <w:szCs w:val="18"/>
              </w:rPr>
              <w:t>mm</w:t>
            </w:r>
            <w:r>
              <w:rPr>
                <w:rFonts w:hAnsi="宋体"/>
                <w:color w:val="000000"/>
                <w:sz w:val="18"/>
                <w:szCs w:val="18"/>
              </w:rPr>
              <w:t>～</w:t>
            </w:r>
            <w:r>
              <w:rPr>
                <w:rFonts w:hint="eastAsia" w:hAnsi="宋体"/>
                <w:sz w:val="18"/>
                <w:szCs w:val="18"/>
              </w:rPr>
              <w:t>2.1</w:t>
            </w:r>
            <w:r>
              <w:rPr>
                <w:rFonts w:hint="eastAsia" w:hAnsi="宋体"/>
                <w:sz w:val="18"/>
                <w:szCs w:val="18"/>
                <w:vertAlign w:val="superscript"/>
              </w:rPr>
              <w:t xml:space="preserve"> </w:t>
            </w:r>
            <w:r>
              <w:rPr>
                <w:rFonts w:hint="eastAsia" w:hAnsi="宋体"/>
                <w:sz w:val="18"/>
                <w:szCs w:val="18"/>
              </w:rPr>
              <w:t>mm</w:t>
            </w:r>
          </w:p>
        </w:tc>
        <w:tc>
          <w:tcPr>
            <w:tcW w:w="1840" w:type="dxa"/>
            <w:vMerge w:val="continue"/>
            <w:shd w:val="clear" w:color="auto" w:fill="auto"/>
            <w:vAlign w:val="center"/>
          </w:tcPr>
          <w:p>
            <w:pPr>
              <w:pStyle w:val="18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09" w:type="dxa"/>
            <w:vMerge w:val="restart"/>
            <w:shd w:val="clear" w:color="auto" w:fill="auto"/>
            <w:vAlign w:val="center"/>
          </w:tcPr>
          <w:p>
            <w:pPr>
              <w:pStyle w:val="180"/>
            </w:pPr>
            <w:r>
              <w:rPr>
                <w:rFonts w:hint="eastAsia"/>
              </w:rPr>
              <w:t>组培苗</w:t>
            </w:r>
          </w:p>
        </w:tc>
        <w:tc>
          <w:tcPr>
            <w:tcW w:w="1909" w:type="dxa"/>
            <w:shd w:val="clear" w:color="auto" w:fill="auto"/>
            <w:vAlign w:val="center"/>
          </w:tcPr>
          <w:p>
            <w:pPr>
              <w:pStyle w:val="236"/>
              <w:ind w:firstLine="0" w:firstLineChars="0"/>
              <w:jc w:val="center"/>
              <w:rPr>
                <w:rFonts w:hAnsi="宋体"/>
                <w:sz w:val="18"/>
                <w:szCs w:val="18"/>
              </w:rPr>
            </w:pPr>
            <w:r>
              <w:rPr>
                <w:rFonts w:hint="eastAsia" w:hAnsi="宋体"/>
                <w:sz w:val="18"/>
                <w:szCs w:val="18"/>
              </w:rPr>
              <w:t>Ⅰ级苗</w:t>
            </w:r>
          </w:p>
        </w:tc>
        <w:tc>
          <w:tcPr>
            <w:tcW w:w="1838" w:type="dxa"/>
            <w:vAlign w:val="center"/>
          </w:tcPr>
          <w:p>
            <w:pPr>
              <w:pStyle w:val="236"/>
              <w:ind w:firstLine="0" w:firstLineChars="0"/>
              <w:jc w:val="center"/>
              <w:rPr>
                <w:rFonts w:hAnsi="宋体"/>
                <w:sz w:val="18"/>
                <w:szCs w:val="18"/>
              </w:rPr>
            </w:pPr>
            <w:r>
              <w:rPr>
                <w:rFonts w:hint="eastAsia" w:hAnsi="宋体"/>
                <w:sz w:val="18"/>
                <w:szCs w:val="18"/>
              </w:rPr>
              <w:t>25</w:t>
            </w:r>
            <w:r>
              <w:rPr>
                <w:rFonts w:hint="eastAsia" w:hAnsi="宋体"/>
                <w:sz w:val="18"/>
                <w:szCs w:val="18"/>
                <w:vertAlign w:val="superscript"/>
              </w:rPr>
              <w:t xml:space="preserve"> </w:t>
            </w:r>
            <w:r>
              <w:rPr>
                <w:rFonts w:hint="eastAsia" w:hAnsi="宋体"/>
                <w:sz w:val="18"/>
                <w:szCs w:val="18"/>
              </w:rPr>
              <w:t>cm</w:t>
            </w:r>
            <w:r>
              <w:rPr>
                <w:rFonts w:hAnsi="宋体"/>
                <w:color w:val="000000"/>
                <w:sz w:val="18"/>
                <w:szCs w:val="18"/>
              </w:rPr>
              <w:t>～</w:t>
            </w:r>
            <w:r>
              <w:rPr>
                <w:rFonts w:hint="eastAsia" w:hAnsi="宋体"/>
                <w:sz w:val="18"/>
                <w:szCs w:val="18"/>
              </w:rPr>
              <w:t>30</w:t>
            </w:r>
            <w:r>
              <w:rPr>
                <w:rFonts w:hint="eastAsia" w:hAnsi="宋体"/>
                <w:sz w:val="18"/>
                <w:szCs w:val="18"/>
                <w:vertAlign w:val="superscript"/>
              </w:rPr>
              <w:t xml:space="preserve"> </w:t>
            </w:r>
            <w:r>
              <w:rPr>
                <w:rFonts w:hint="eastAsia" w:hAnsi="宋体"/>
                <w:sz w:val="18"/>
                <w:szCs w:val="18"/>
              </w:rPr>
              <w:t>cm</w:t>
            </w:r>
          </w:p>
        </w:tc>
        <w:tc>
          <w:tcPr>
            <w:tcW w:w="1838" w:type="dxa"/>
            <w:vAlign w:val="center"/>
          </w:tcPr>
          <w:p>
            <w:pPr>
              <w:pStyle w:val="236"/>
              <w:ind w:firstLine="0" w:firstLineChars="0"/>
              <w:jc w:val="center"/>
              <w:rPr>
                <w:rFonts w:hAnsi="宋体"/>
                <w:sz w:val="18"/>
                <w:szCs w:val="18"/>
              </w:rPr>
            </w:pPr>
            <w:r>
              <w:rPr>
                <w:rFonts w:hint="eastAsia" w:hAnsi="宋体"/>
                <w:sz w:val="18"/>
                <w:szCs w:val="18"/>
              </w:rPr>
              <w:t>≥2.2</w:t>
            </w:r>
            <w:r>
              <w:rPr>
                <w:rFonts w:hint="eastAsia" w:hAnsi="宋体"/>
                <w:sz w:val="18"/>
                <w:szCs w:val="18"/>
                <w:vertAlign w:val="superscript"/>
              </w:rPr>
              <w:t xml:space="preserve"> </w:t>
            </w:r>
            <w:r>
              <w:rPr>
                <w:rFonts w:hint="eastAsia" w:hAnsi="宋体"/>
                <w:sz w:val="18"/>
                <w:szCs w:val="18"/>
              </w:rPr>
              <w:t>mm</w:t>
            </w:r>
          </w:p>
        </w:tc>
        <w:tc>
          <w:tcPr>
            <w:tcW w:w="1840" w:type="dxa"/>
            <w:vMerge w:val="continue"/>
            <w:shd w:val="clear" w:color="auto" w:fill="auto"/>
            <w:vAlign w:val="center"/>
          </w:tcPr>
          <w:p>
            <w:pPr>
              <w:pStyle w:val="18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09" w:type="dxa"/>
            <w:vMerge w:val="continue"/>
            <w:shd w:val="clear" w:color="auto" w:fill="auto"/>
            <w:vAlign w:val="center"/>
          </w:tcPr>
          <w:p>
            <w:pPr>
              <w:pStyle w:val="180"/>
            </w:pPr>
          </w:p>
        </w:tc>
        <w:tc>
          <w:tcPr>
            <w:tcW w:w="1909" w:type="dxa"/>
            <w:shd w:val="clear" w:color="auto" w:fill="auto"/>
            <w:vAlign w:val="center"/>
          </w:tcPr>
          <w:p>
            <w:pPr>
              <w:pStyle w:val="236"/>
              <w:ind w:firstLine="0" w:firstLineChars="0"/>
              <w:jc w:val="center"/>
              <w:rPr>
                <w:rFonts w:hAnsi="宋体"/>
                <w:sz w:val="18"/>
                <w:szCs w:val="18"/>
              </w:rPr>
            </w:pPr>
            <w:r>
              <w:rPr>
                <w:rFonts w:hint="eastAsia" w:hAnsi="宋体"/>
                <w:sz w:val="18"/>
                <w:szCs w:val="18"/>
              </w:rPr>
              <w:t>Ⅱ级苗</w:t>
            </w:r>
          </w:p>
        </w:tc>
        <w:tc>
          <w:tcPr>
            <w:tcW w:w="1838" w:type="dxa"/>
            <w:vAlign w:val="center"/>
          </w:tcPr>
          <w:p>
            <w:pPr>
              <w:pStyle w:val="236"/>
              <w:ind w:firstLine="0" w:firstLineChars="0"/>
              <w:jc w:val="center"/>
              <w:rPr>
                <w:rFonts w:hAnsi="宋体"/>
                <w:sz w:val="18"/>
                <w:szCs w:val="18"/>
              </w:rPr>
            </w:pPr>
            <w:r>
              <w:rPr>
                <w:rFonts w:hint="eastAsia" w:hAnsi="宋体"/>
                <w:sz w:val="18"/>
                <w:szCs w:val="18"/>
              </w:rPr>
              <w:t>20</w:t>
            </w:r>
            <w:r>
              <w:rPr>
                <w:rFonts w:hint="eastAsia" w:hAnsi="宋体"/>
                <w:sz w:val="18"/>
                <w:szCs w:val="18"/>
                <w:vertAlign w:val="superscript"/>
              </w:rPr>
              <w:t xml:space="preserve"> </w:t>
            </w:r>
            <w:r>
              <w:rPr>
                <w:rFonts w:hint="eastAsia" w:hAnsi="宋体"/>
                <w:sz w:val="18"/>
                <w:szCs w:val="18"/>
              </w:rPr>
              <w:t>cm</w:t>
            </w:r>
            <w:r>
              <w:rPr>
                <w:rFonts w:hAnsi="宋体"/>
                <w:color w:val="000000"/>
                <w:sz w:val="18"/>
                <w:szCs w:val="18"/>
              </w:rPr>
              <w:t>～</w:t>
            </w:r>
            <w:r>
              <w:rPr>
                <w:rFonts w:hint="eastAsia" w:hAnsi="宋体"/>
                <w:sz w:val="18"/>
                <w:szCs w:val="18"/>
              </w:rPr>
              <w:t>24</w:t>
            </w:r>
            <w:r>
              <w:rPr>
                <w:rFonts w:hint="eastAsia" w:hAnsi="宋体"/>
                <w:sz w:val="18"/>
                <w:szCs w:val="18"/>
                <w:vertAlign w:val="superscript"/>
              </w:rPr>
              <w:t xml:space="preserve"> </w:t>
            </w:r>
            <w:r>
              <w:rPr>
                <w:rFonts w:hint="eastAsia" w:hAnsi="宋体"/>
                <w:sz w:val="18"/>
                <w:szCs w:val="18"/>
              </w:rPr>
              <w:t>cm</w:t>
            </w:r>
          </w:p>
        </w:tc>
        <w:tc>
          <w:tcPr>
            <w:tcW w:w="1838" w:type="dxa"/>
            <w:vAlign w:val="center"/>
          </w:tcPr>
          <w:p>
            <w:pPr>
              <w:pStyle w:val="236"/>
              <w:ind w:firstLine="0" w:firstLineChars="0"/>
              <w:jc w:val="center"/>
              <w:rPr>
                <w:rFonts w:hAnsi="宋体"/>
                <w:sz w:val="18"/>
                <w:szCs w:val="18"/>
              </w:rPr>
            </w:pPr>
            <w:r>
              <w:rPr>
                <w:rFonts w:hint="eastAsia" w:hAnsi="宋体"/>
                <w:sz w:val="18"/>
                <w:szCs w:val="18"/>
              </w:rPr>
              <w:t>1.8</w:t>
            </w:r>
            <w:r>
              <w:rPr>
                <w:rFonts w:hint="eastAsia" w:hAnsi="宋体"/>
                <w:sz w:val="18"/>
                <w:szCs w:val="18"/>
                <w:vertAlign w:val="superscript"/>
              </w:rPr>
              <w:t xml:space="preserve"> </w:t>
            </w:r>
            <w:r>
              <w:rPr>
                <w:rFonts w:hint="eastAsia" w:hAnsi="宋体"/>
                <w:sz w:val="18"/>
                <w:szCs w:val="18"/>
              </w:rPr>
              <w:t>mm</w:t>
            </w:r>
            <w:r>
              <w:rPr>
                <w:rFonts w:hAnsi="宋体"/>
                <w:color w:val="000000"/>
                <w:sz w:val="18"/>
                <w:szCs w:val="18"/>
              </w:rPr>
              <w:t>～</w:t>
            </w:r>
            <w:r>
              <w:rPr>
                <w:rFonts w:hint="eastAsia" w:hAnsi="宋体"/>
                <w:sz w:val="18"/>
                <w:szCs w:val="18"/>
              </w:rPr>
              <w:t>2.1</w:t>
            </w:r>
            <w:r>
              <w:rPr>
                <w:rFonts w:hint="eastAsia" w:hAnsi="宋体"/>
                <w:sz w:val="18"/>
                <w:szCs w:val="18"/>
                <w:vertAlign w:val="superscript"/>
              </w:rPr>
              <w:t xml:space="preserve"> </w:t>
            </w:r>
            <w:r>
              <w:rPr>
                <w:rFonts w:hint="eastAsia" w:hAnsi="宋体"/>
                <w:sz w:val="18"/>
                <w:szCs w:val="18"/>
              </w:rPr>
              <w:t>mm</w:t>
            </w:r>
          </w:p>
        </w:tc>
        <w:tc>
          <w:tcPr>
            <w:tcW w:w="1840" w:type="dxa"/>
            <w:vMerge w:val="continue"/>
            <w:shd w:val="clear" w:color="auto" w:fill="auto"/>
            <w:vAlign w:val="center"/>
          </w:tcPr>
          <w:p>
            <w:pPr>
              <w:pStyle w:val="180"/>
            </w:pPr>
          </w:p>
        </w:tc>
      </w:tr>
    </w:tbl>
    <w:p>
      <w:pPr>
        <w:pStyle w:val="106"/>
        <w:spacing w:before="240" w:after="240"/>
      </w:pPr>
      <w:r>
        <w:rPr>
          <w:rFonts w:hint="eastAsia"/>
        </w:rPr>
        <w:t>起苗、包装和运输</w:t>
      </w:r>
    </w:p>
    <w:p>
      <w:pPr>
        <w:pStyle w:val="58"/>
        <w:ind w:firstLine="420"/>
      </w:pPr>
      <w:r>
        <w:rPr>
          <w:rFonts w:hint="eastAsia"/>
        </w:rPr>
        <w:t>按DB45/T 1777—2018中的规定执行。</w:t>
      </w:r>
    </w:p>
    <w:p>
      <w:pPr>
        <w:pStyle w:val="106"/>
        <w:spacing w:before="240" w:after="240"/>
      </w:pPr>
      <w:r>
        <w:rPr>
          <w:rFonts w:hint="eastAsia"/>
        </w:rPr>
        <w:t>检验方法</w:t>
      </w:r>
    </w:p>
    <w:p>
      <w:pPr>
        <w:pStyle w:val="58"/>
        <w:ind w:firstLine="420"/>
      </w:pPr>
      <w:r>
        <w:rPr>
          <w:rFonts w:hint="eastAsia"/>
        </w:rPr>
        <w:t>按DB45/T 1777—2018中的规定执行。</w:t>
      </w:r>
    </w:p>
    <w:p>
      <w:pPr>
        <w:pStyle w:val="106"/>
        <w:spacing w:before="240" w:after="240"/>
      </w:pPr>
      <w:r>
        <w:rPr>
          <w:rFonts w:hint="eastAsia"/>
        </w:rPr>
        <w:t>苗木标签</w:t>
      </w:r>
    </w:p>
    <w:p>
      <w:pPr>
        <w:pStyle w:val="58"/>
        <w:ind w:firstLine="420"/>
      </w:pPr>
      <w:r>
        <w:rPr>
          <w:rFonts w:hint="eastAsia"/>
        </w:rPr>
        <w:t>按LY/T 2290—2</w:t>
      </w:r>
      <w:r>
        <w:t>018</w:t>
      </w:r>
      <w:r>
        <w:rPr>
          <w:rFonts w:hint="eastAsia"/>
        </w:rPr>
        <w:t>中的规定执行。</w:t>
      </w:r>
    </w:p>
    <w:p>
      <w:pPr>
        <w:pStyle w:val="106"/>
        <w:spacing w:before="240" w:after="240"/>
      </w:pPr>
      <w:r>
        <w:rPr>
          <w:rFonts w:hint="eastAsia"/>
        </w:rPr>
        <w:t>育苗档案</w:t>
      </w:r>
    </w:p>
    <w:p>
      <w:pPr>
        <w:pStyle w:val="58"/>
        <w:ind w:firstLine="420"/>
      </w:pPr>
      <w:r>
        <w:rPr>
          <w:rFonts w:hint="eastAsia"/>
        </w:rPr>
        <w:t>按LY/T 22</w:t>
      </w:r>
      <w:r>
        <w:t>8</w:t>
      </w:r>
      <w:r>
        <w:rPr>
          <w:rFonts w:hint="eastAsia"/>
        </w:rPr>
        <w:t>0—2</w:t>
      </w:r>
      <w:r>
        <w:t>018</w:t>
      </w:r>
      <w:r>
        <w:rPr>
          <w:rFonts w:hint="eastAsia"/>
        </w:rPr>
        <w:t>中的规定执行。</w:t>
      </w:r>
    </w:p>
    <w:bookmarkEnd w:id="22"/>
    <w:p>
      <w:pPr>
        <w:pStyle w:val="58"/>
        <w:ind w:firstLine="0" w:firstLineChars="0"/>
        <w:jc w:val="center"/>
      </w:pPr>
      <w:bookmarkStart w:id="41" w:name="BookMark8"/>
      <w:r>
        <w:rPr>
          <w:rFonts w:hint="eastAsia"/>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1"/>
    </w:p>
    <w:sectPr>
      <w:pgSz w:w="11906" w:h="16838"/>
      <w:pgMar w:top="567"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Light">
    <w:altName w:val="宋体"/>
    <w:panose1 w:val="02010600030101010101"/>
    <w:charset w:val="86"/>
    <w:family w:val="auto"/>
    <w:pitch w:val="default"/>
    <w:sig w:usb0="00000000" w:usb1="00000000" w:usb2="00000016" w:usb3="00000000" w:csb0="0004000F" w:csb1="00000000"/>
  </w:font>
  <w:font w:name="MS Mincho">
    <w:panose1 w:val="020206090402050803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T/GXAS XXXX—2021</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pPr>
    <w:r>
      <w:fldChar w:fldCharType="begin"/>
    </w:r>
    <w:r>
      <w:instrText xml:space="preserve"> STYLEREF  标准文件_文件编号  \* MERGEFORMAT </w:instrText>
    </w:r>
    <w:r>
      <w:fldChar w:fldCharType="separate"/>
    </w:r>
    <w:r>
      <w:t>T/GXAS XXXX—2021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suff w:val="nothing"/>
      <w:lvlText w:val="%1　"/>
      <w:lvlJc w:val="left"/>
      <w:pPr>
        <w:ind w:left="284" w:firstLine="0"/>
      </w:pPr>
      <w:rPr>
        <w:rFonts w:hint="eastAsia" w:ascii="黑体" w:hAnsi="Times New Roman" w:eastAsia="黑体"/>
        <w:b w:val="0"/>
        <w:i w:val="0"/>
        <w:sz w:val="21"/>
        <w:szCs w:val="21"/>
      </w:rPr>
    </w:lvl>
    <w:lvl w:ilvl="1" w:tentative="0">
      <w:start w:val="1"/>
      <w:numFmt w:val="decimal"/>
      <w:pStyle w:val="232"/>
      <w:suff w:val="nothing"/>
      <w:lvlText w:val="%1.%2　"/>
      <w:lvlJc w:val="left"/>
      <w:pPr>
        <w:ind w:left="284"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bordersDoNotSurroundHeader w:val="1"/>
  <w:bordersDoNotSurroundFooter w:val="1"/>
  <w:attachedTemplate r:id="rId1"/>
  <w:documentProtection w:edit="forms" w:enforcement="1" w:cryptProviderType="rsaAES" w:cryptAlgorithmClass="hash" w:cryptAlgorithmType="typeAny" w:cryptAlgorithmSid="14" w:cryptSpinCount="100000" w:hash="k/6p+Tkj498tKwjur7X71Rk/UxXNLfJva2oPWqE+HACXYa0akDfICa+0UoAmNL1gGRJARsVckndnnGp9nxFdNA==" w:salt="CZiOaGMXVXlgUMGVqIXZ8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8B2"/>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1FBC"/>
    <w:rsid w:val="0005265A"/>
    <w:rsid w:val="00052A9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30"/>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3683"/>
    <w:rsid w:val="000D4B9C"/>
    <w:rsid w:val="000D4EB6"/>
    <w:rsid w:val="000D753B"/>
    <w:rsid w:val="000E4C9E"/>
    <w:rsid w:val="000E6FD7"/>
    <w:rsid w:val="000F06E1"/>
    <w:rsid w:val="000F0E3C"/>
    <w:rsid w:val="000F19D5"/>
    <w:rsid w:val="000F4050"/>
    <w:rsid w:val="000F4AEA"/>
    <w:rsid w:val="000F67E9"/>
    <w:rsid w:val="00104926"/>
    <w:rsid w:val="001066E3"/>
    <w:rsid w:val="00113B1E"/>
    <w:rsid w:val="0011711C"/>
    <w:rsid w:val="00122A25"/>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383D"/>
    <w:rsid w:val="002040E6"/>
    <w:rsid w:val="0020527B"/>
    <w:rsid w:val="00205F2C"/>
    <w:rsid w:val="00210B15"/>
    <w:rsid w:val="00210CEE"/>
    <w:rsid w:val="002142EA"/>
    <w:rsid w:val="00215ADD"/>
    <w:rsid w:val="002204BB"/>
    <w:rsid w:val="00221B79"/>
    <w:rsid w:val="00221C6B"/>
    <w:rsid w:val="002253A1"/>
    <w:rsid w:val="00225CF8"/>
    <w:rsid w:val="0022794E"/>
    <w:rsid w:val="00230208"/>
    <w:rsid w:val="00233D64"/>
    <w:rsid w:val="0023482A"/>
    <w:rsid w:val="002359CB"/>
    <w:rsid w:val="00243540"/>
    <w:rsid w:val="0024497B"/>
    <w:rsid w:val="0024515B"/>
    <w:rsid w:val="00246021"/>
    <w:rsid w:val="0024666E"/>
    <w:rsid w:val="00247F52"/>
    <w:rsid w:val="00250B25"/>
    <w:rsid w:val="00250BBE"/>
    <w:rsid w:val="002515C2"/>
    <w:rsid w:val="0025194F"/>
    <w:rsid w:val="002553AA"/>
    <w:rsid w:val="0026148A"/>
    <w:rsid w:val="00262696"/>
    <w:rsid w:val="00263D25"/>
    <w:rsid w:val="002643C3"/>
    <w:rsid w:val="00264A0C"/>
    <w:rsid w:val="00264F65"/>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52C1"/>
    <w:rsid w:val="002E6326"/>
    <w:rsid w:val="002F30E0"/>
    <w:rsid w:val="002F35E4"/>
    <w:rsid w:val="002F3730"/>
    <w:rsid w:val="002F38E1"/>
    <w:rsid w:val="002F7AF6"/>
    <w:rsid w:val="00300E63"/>
    <w:rsid w:val="00302174"/>
    <w:rsid w:val="00302F5F"/>
    <w:rsid w:val="0030441D"/>
    <w:rsid w:val="003052FA"/>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1B6A"/>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829"/>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3676"/>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16FF8"/>
    <w:rsid w:val="00432DAA"/>
    <w:rsid w:val="00433790"/>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4FF"/>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AF3"/>
    <w:rsid w:val="00543BDA"/>
    <w:rsid w:val="005441CC"/>
    <w:rsid w:val="005479DA"/>
    <w:rsid w:val="00547BCC"/>
    <w:rsid w:val="0055013B"/>
    <w:rsid w:val="00551F6F"/>
    <w:rsid w:val="0055444C"/>
    <w:rsid w:val="00555044"/>
    <w:rsid w:val="00561475"/>
    <w:rsid w:val="00562308"/>
    <w:rsid w:val="0056487B"/>
    <w:rsid w:val="00564FB9"/>
    <w:rsid w:val="00573D9E"/>
    <w:rsid w:val="00574E44"/>
    <w:rsid w:val="005801E3"/>
    <w:rsid w:val="00581802"/>
    <w:rsid w:val="005836A8"/>
    <w:rsid w:val="0058409C"/>
    <w:rsid w:val="00584262"/>
    <w:rsid w:val="00584CE5"/>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B86"/>
    <w:rsid w:val="005C5F21"/>
    <w:rsid w:val="005C7156"/>
    <w:rsid w:val="005D0C75"/>
    <w:rsid w:val="005D4171"/>
    <w:rsid w:val="005D6A95"/>
    <w:rsid w:val="005D6B2C"/>
    <w:rsid w:val="005D6D9C"/>
    <w:rsid w:val="005E2335"/>
    <w:rsid w:val="005E34CA"/>
    <w:rsid w:val="005E3C18"/>
    <w:rsid w:val="005E4250"/>
    <w:rsid w:val="005E596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1712"/>
    <w:rsid w:val="006252D8"/>
    <w:rsid w:val="006259BC"/>
    <w:rsid w:val="0062636B"/>
    <w:rsid w:val="00632182"/>
    <w:rsid w:val="00632AE0"/>
    <w:rsid w:val="00633C17"/>
    <w:rsid w:val="00634D9E"/>
    <w:rsid w:val="00636E3E"/>
    <w:rsid w:val="006379F7"/>
    <w:rsid w:val="00637E4D"/>
    <w:rsid w:val="00640620"/>
    <w:rsid w:val="00641A1F"/>
    <w:rsid w:val="00645904"/>
    <w:rsid w:val="00651576"/>
    <w:rsid w:val="00651ACB"/>
    <w:rsid w:val="00651C47"/>
    <w:rsid w:val="00652AB2"/>
    <w:rsid w:val="00653FED"/>
    <w:rsid w:val="00654EC0"/>
    <w:rsid w:val="0065525B"/>
    <w:rsid w:val="006555C2"/>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5C59"/>
    <w:rsid w:val="006A07AA"/>
    <w:rsid w:val="006A25E5"/>
    <w:rsid w:val="006A2B46"/>
    <w:rsid w:val="006A336D"/>
    <w:rsid w:val="006A37B9"/>
    <w:rsid w:val="006A6D78"/>
    <w:rsid w:val="006B2672"/>
    <w:rsid w:val="006B54BF"/>
    <w:rsid w:val="006B5F44"/>
    <w:rsid w:val="006B5F90"/>
    <w:rsid w:val="006B62E4"/>
    <w:rsid w:val="006C1BBA"/>
    <w:rsid w:val="006C2079"/>
    <w:rsid w:val="006C5A62"/>
    <w:rsid w:val="006C5D68"/>
    <w:rsid w:val="006C6976"/>
    <w:rsid w:val="006C6DD0"/>
    <w:rsid w:val="006D0053"/>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4B39"/>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4CA5"/>
    <w:rsid w:val="007C5309"/>
    <w:rsid w:val="007C6069"/>
    <w:rsid w:val="007D06C4"/>
    <w:rsid w:val="007D1352"/>
    <w:rsid w:val="007D2508"/>
    <w:rsid w:val="007D346A"/>
    <w:rsid w:val="007D6518"/>
    <w:rsid w:val="007D76BD"/>
    <w:rsid w:val="007E0BF1"/>
    <w:rsid w:val="007F0ED8"/>
    <w:rsid w:val="007F0F63"/>
    <w:rsid w:val="007F2661"/>
    <w:rsid w:val="007F735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B30"/>
    <w:rsid w:val="00840F84"/>
    <w:rsid w:val="008420CF"/>
    <w:rsid w:val="00842A47"/>
    <w:rsid w:val="00843C13"/>
    <w:rsid w:val="008454F8"/>
    <w:rsid w:val="0085173A"/>
    <w:rsid w:val="008603CE"/>
    <w:rsid w:val="00861194"/>
    <w:rsid w:val="008620FC"/>
    <w:rsid w:val="008627A5"/>
    <w:rsid w:val="00863E05"/>
    <w:rsid w:val="00865ACA"/>
    <w:rsid w:val="00865D28"/>
    <w:rsid w:val="00865F85"/>
    <w:rsid w:val="00867C10"/>
    <w:rsid w:val="00870439"/>
    <w:rsid w:val="00870DA1"/>
    <w:rsid w:val="00876DA5"/>
    <w:rsid w:val="00883F93"/>
    <w:rsid w:val="00884DB3"/>
    <w:rsid w:val="00885A9D"/>
    <w:rsid w:val="008864F6"/>
    <w:rsid w:val="0089049D"/>
    <w:rsid w:val="008928C9"/>
    <w:rsid w:val="008930CB"/>
    <w:rsid w:val="008938DC"/>
    <w:rsid w:val="00893FD1"/>
    <w:rsid w:val="00894836"/>
    <w:rsid w:val="00895172"/>
    <w:rsid w:val="00895680"/>
    <w:rsid w:val="008958B2"/>
    <w:rsid w:val="00896DFF"/>
    <w:rsid w:val="0089762C"/>
    <w:rsid w:val="008A173B"/>
    <w:rsid w:val="008A1893"/>
    <w:rsid w:val="008A23E2"/>
    <w:rsid w:val="008A57E6"/>
    <w:rsid w:val="008A589D"/>
    <w:rsid w:val="008A5F37"/>
    <w:rsid w:val="008A6F81"/>
    <w:rsid w:val="008A769A"/>
    <w:rsid w:val="008B0C9C"/>
    <w:rsid w:val="008B166D"/>
    <w:rsid w:val="008B17F4"/>
    <w:rsid w:val="008B3615"/>
    <w:rsid w:val="008B4AC4"/>
    <w:rsid w:val="008B50C8"/>
    <w:rsid w:val="008B5281"/>
    <w:rsid w:val="008B7B35"/>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904"/>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32C0"/>
    <w:rsid w:val="00945180"/>
    <w:rsid w:val="00945428"/>
    <w:rsid w:val="0094607B"/>
    <w:rsid w:val="00953604"/>
    <w:rsid w:val="0095496B"/>
    <w:rsid w:val="00960F1E"/>
    <w:rsid w:val="009610DC"/>
    <w:rsid w:val="00961490"/>
    <w:rsid w:val="0096381A"/>
    <w:rsid w:val="00965E04"/>
    <w:rsid w:val="009674AD"/>
    <w:rsid w:val="0096782C"/>
    <w:rsid w:val="00970CDC"/>
    <w:rsid w:val="009744C4"/>
    <w:rsid w:val="00975727"/>
    <w:rsid w:val="00977010"/>
    <w:rsid w:val="00977D02"/>
    <w:rsid w:val="00977FF9"/>
    <w:rsid w:val="00980610"/>
    <w:rsid w:val="009809BB"/>
    <w:rsid w:val="0098364B"/>
    <w:rsid w:val="00983853"/>
    <w:rsid w:val="0098561D"/>
    <w:rsid w:val="00985742"/>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3F4A"/>
    <w:rsid w:val="009B6029"/>
    <w:rsid w:val="009B6971"/>
    <w:rsid w:val="009C27F1"/>
    <w:rsid w:val="009C3152"/>
    <w:rsid w:val="009C3257"/>
    <w:rsid w:val="009C4CFA"/>
    <w:rsid w:val="009C5070"/>
    <w:rsid w:val="009C71DC"/>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251A"/>
    <w:rsid w:val="00A648CD"/>
    <w:rsid w:val="00A6537A"/>
    <w:rsid w:val="00A67866"/>
    <w:rsid w:val="00A70B07"/>
    <w:rsid w:val="00A723F8"/>
    <w:rsid w:val="00A77CCB"/>
    <w:rsid w:val="00A83D8D"/>
    <w:rsid w:val="00A8446B"/>
    <w:rsid w:val="00A8473F"/>
    <w:rsid w:val="00A862D6"/>
    <w:rsid w:val="00A8715E"/>
    <w:rsid w:val="00A87F48"/>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B76DD"/>
    <w:rsid w:val="00AC27A6"/>
    <w:rsid w:val="00AC30F7"/>
    <w:rsid w:val="00AC3A5A"/>
    <w:rsid w:val="00AC4D95"/>
    <w:rsid w:val="00AC5DF4"/>
    <w:rsid w:val="00AD073A"/>
    <w:rsid w:val="00AD0AEF"/>
    <w:rsid w:val="00AD11B7"/>
    <w:rsid w:val="00AD1A94"/>
    <w:rsid w:val="00AD1C05"/>
    <w:rsid w:val="00AD4126"/>
    <w:rsid w:val="00AD421C"/>
    <w:rsid w:val="00AD44FA"/>
    <w:rsid w:val="00AD73E4"/>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576AB"/>
    <w:rsid w:val="00B60ACF"/>
    <w:rsid w:val="00B62B58"/>
    <w:rsid w:val="00B65149"/>
    <w:rsid w:val="00B66567"/>
    <w:rsid w:val="00B66F52"/>
    <w:rsid w:val="00B66FE5"/>
    <w:rsid w:val="00B71B98"/>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05E"/>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2C2F"/>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67A"/>
    <w:rsid w:val="00D1489E"/>
    <w:rsid w:val="00D20737"/>
    <w:rsid w:val="00D21E81"/>
    <w:rsid w:val="00D223DE"/>
    <w:rsid w:val="00D25E37"/>
    <w:rsid w:val="00D2661A"/>
    <w:rsid w:val="00D269BE"/>
    <w:rsid w:val="00D27582"/>
    <w:rsid w:val="00D27EC4"/>
    <w:rsid w:val="00D32719"/>
    <w:rsid w:val="00D33333"/>
    <w:rsid w:val="00D350E4"/>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460B"/>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1477"/>
    <w:rsid w:val="00E74313"/>
    <w:rsid w:val="00E74C54"/>
    <w:rsid w:val="00E77A03"/>
    <w:rsid w:val="00E822E8"/>
    <w:rsid w:val="00E82554"/>
    <w:rsid w:val="00E82606"/>
    <w:rsid w:val="00E831C1"/>
    <w:rsid w:val="00E846C8"/>
    <w:rsid w:val="00E84957"/>
    <w:rsid w:val="00E84A55"/>
    <w:rsid w:val="00E85BFF"/>
    <w:rsid w:val="00E90391"/>
    <w:rsid w:val="00E906C2"/>
    <w:rsid w:val="00E925A8"/>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C6397"/>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3D9F"/>
    <w:rsid w:val="00F6412A"/>
    <w:rsid w:val="00F65893"/>
    <w:rsid w:val="00F66A4A"/>
    <w:rsid w:val="00F71E22"/>
    <w:rsid w:val="00F72142"/>
    <w:rsid w:val="00F72AE7"/>
    <w:rsid w:val="00F770B4"/>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3366"/>
    <w:rsid w:val="00FB45F1"/>
    <w:rsid w:val="00FB4A72"/>
    <w:rsid w:val="00FB5047"/>
    <w:rsid w:val="00FB54E8"/>
    <w:rsid w:val="00FB7054"/>
    <w:rsid w:val="00FC17B7"/>
    <w:rsid w:val="00FC2CB7"/>
    <w:rsid w:val="00FC4090"/>
    <w:rsid w:val="00FC55B4"/>
    <w:rsid w:val="00FD00E6"/>
    <w:rsid w:val="00FD09A1"/>
    <w:rsid w:val="00FD2A7C"/>
    <w:rsid w:val="00FD59EB"/>
    <w:rsid w:val="00FD7299"/>
    <w:rsid w:val="00FE1FBE"/>
    <w:rsid w:val="00FE3079"/>
    <w:rsid w:val="00FE3901"/>
    <w:rsid w:val="00FE39D3"/>
    <w:rsid w:val="00FE4BCE"/>
    <w:rsid w:val="00FE54AE"/>
    <w:rsid w:val="00FE576A"/>
    <w:rsid w:val="00FE7E79"/>
    <w:rsid w:val="00FF3E7D"/>
    <w:rsid w:val="00FF5B99"/>
    <w:rsid w:val="00FF730C"/>
    <w:rsid w:val="00FF73F4"/>
    <w:rsid w:val="00FF7CE4"/>
    <w:rsid w:val="00FF7E39"/>
    <w:rsid w:val="212604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unhideWhenUsed="0" w:uiPriority="99" w:semiHidden="0" w:name="header"/>
    <w:lsdException w:unhideWhenUsed="0" w:uiPriority="99" w:semiHidden="0" w:name="footer"/>
    <w:lsdException w:unhideWhenUsed="0" w:uiPriority="0" w:semiHidden="0"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8"/>
    <w:uiPriority w:val="0"/>
    <w:pPr>
      <w:spacing w:after="120"/>
    </w:pPr>
  </w:style>
  <w:style w:type="paragraph" w:styleId="14">
    <w:name w:val="toc 5"/>
    <w:basedOn w:val="1"/>
    <w:next w:val="1"/>
    <w:unhideWhenUsed/>
    <w:uiPriority w:val="39"/>
    <w:pPr>
      <w:ind w:left="839"/>
    </w:pPr>
    <w:rPr>
      <w:rFonts w:ascii="宋体"/>
    </w:rPr>
  </w:style>
  <w:style w:type="paragraph" w:styleId="15">
    <w:name w:val="toc 3"/>
    <w:basedOn w:val="1"/>
    <w:next w:val="1"/>
    <w:unhideWhenUsed/>
    <w:uiPriority w:val="39"/>
    <w:pPr>
      <w:spacing w:line="300" w:lineRule="exact"/>
      <w:ind w:left="420"/>
    </w:pPr>
    <w:rPr>
      <w:rFonts w:ascii="宋体"/>
    </w:rPr>
  </w:style>
  <w:style w:type="paragraph" w:styleId="16">
    <w:name w:val="Balloon Text"/>
    <w:basedOn w:val="1"/>
    <w:link w:val="47"/>
    <w:semiHidden/>
    <w:unhideWhenUsed/>
    <w:uiPriority w:val="99"/>
    <w:rPr>
      <w:sz w:val="18"/>
      <w:szCs w:val="18"/>
    </w:rPr>
  </w:style>
  <w:style w:type="paragraph" w:styleId="17">
    <w:name w:val="footer"/>
    <w:basedOn w:val="1"/>
    <w:link w:val="46"/>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5"/>
    <w:uiPriority w:val="99"/>
    <w:pPr>
      <w:tabs>
        <w:tab w:val="center" w:pos="4153"/>
        <w:tab w:val="right" w:pos="8306"/>
      </w:tabs>
      <w:adjustRightInd/>
      <w:snapToGrid w:val="0"/>
      <w:jc w:val="center"/>
    </w:pPr>
    <w:rPr>
      <w:sz w:val="18"/>
      <w:szCs w:val="18"/>
    </w:rPr>
  </w:style>
  <w:style w:type="paragraph" w:styleId="19">
    <w:name w:val="toc 1"/>
    <w:basedOn w:val="1"/>
    <w:next w:val="1"/>
    <w:unhideWhenUsed/>
    <w:uiPriority w:val="39"/>
    <w:rPr>
      <w:rFonts w:ascii="宋体"/>
    </w:rPr>
  </w:style>
  <w:style w:type="paragraph" w:styleId="20">
    <w:name w:val="toc 4"/>
    <w:basedOn w:val="1"/>
    <w:next w:val="1"/>
    <w:unhideWhenUsed/>
    <w:uiPriority w:val="39"/>
    <w:pPr>
      <w:tabs>
        <w:tab w:val="right" w:leader="dot" w:pos="9344"/>
      </w:tabs>
      <w:spacing w:line="300" w:lineRule="exact"/>
      <w:ind w:left="629"/>
    </w:pPr>
    <w:rPr>
      <w:rFonts w:ascii="宋体"/>
    </w:rPr>
  </w:style>
  <w:style w:type="paragraph" w:styleId="21">
    <w:name w:val="index heading"/>
    <w:basedOn w:val="1"/>
    <w:next w:val="22"/>
    <w:uiPriority w:val="0"/>
    <w:pPr>
      <w:adjustRightInd/>
      <w:spacing w:before="120" w:after="120" w:line="240" w:lineRule="auto"/>
      <w:jc w:val="center"/>
    </w:pPr>
    <w:rPr>
      <w:b/>
      <w:bCs/>
      <w:iCs/>
      <w:szCs w:val="20"/>
    </w:rPr>
  </w:style>
  <w:style w:type="paragraph" w:styleId="22">
    <w:name w:val="index 1"/>
    <w:basedOn w:val="1"/>
    <w:next w:val="1"/>
    <w:semiHidden/>
    <w:unhideWhenUsed/>
    <w:uiPriority w:val="99"/>
  </w:style>
  <w:style w:type="paragraph" w:styleId="23">
    <w:name w:val="footnote text"/>
    <w:basedOn w:val="1"/>
    <w:next w:val="1"/>
    <w:link w:val="101"/>
    <w:semiHidden/>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unhideWhenUsed/>
    <w:uiPriority w:val="39"/>
    <w:pPr>
      <w:spacing w:line="300" w:lineRule="exact"/>
      <w:ind w:left="1049"/>
    </w:pPr>
    <w:rPr>
      <w:rFonts w:ascii="宋体"/>
    </w:rPr>
  </w:style>
  <w:style w:type="paragraph" w:styleId="25">
    <w:name w:val="table of figures"/>
    <w:basedOn w:val="1"/>
    <w:next w:val="1"/>
    <w:semiHidden/>
    <w:uiPriority w:val="0"/>
    <w:pPr>
      <w:adjustRightInd/>
      <w:spacing w:line="240" w:lineRule="auto"/>
      <w:jc w:val="left"/>
    </w:pPr>
    <w:rPr>
      <w:szCs w:val="24"/>
    </w:rPr>
  </w:style>
  <w:style w:type="paragraph" w:styleId="26">
    <w:name w:val="toc 2"/>
    <w:basedOn w:val="1"/>
    <w:next w:val="1"/>
    <w:unhideWhenUsed/>
    <w:uiPriority w:val="39"/>
    <w:pPr>
      <w:tabs>
        <w:tab w:val="right" w:leader="dot" w:pos="9344"/>
      </w:tabs>
      <w:spacing w:line="300" w:lineRule="exact"/>
      <w:ind w:left="210"/>
    </w:pPr>
    <w:rPr>
      <w:rFonts w:ascii="宋体"/>
    </w:rPr>
  </w:style>
  <w:style w:type="paragraph" w:styleId="27">
    <w:name w:val="Title"/>
    <w:basedOn w:val="1"/>
    <w:link w:val="50"/>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uiPriority w:val="0"/>
    <w:rPr>
      <w:rFonts w:ascii="宋体" w:hAnsi="Times New Roman" w:eastAsia="宋体"/>
      <w:sz w:val="18"/>
    </w:rPr>
  </w:style>
  <w:style w:type="character" w:styleId="33">
    <w:name w:val="Emphasis"/>
    <w:qFormat/>
    <w:uiPriority w:val="20"/>
    <w:rPr>
      <w:i/>
      <w:iCs/>
    </w:rPr>
  </w:style>
  <w:style w:type="character" w:styleId="34">
    <w:name w:val="Hyperlink"/>
    <w:uiPriority w:val="99"/>
    <w:rPr>
      <w:rFonts w:ascii="宋体" w:hAnsi="Times New Roman" w:eastAsia="宋体"/>
      <w:color w:val="auto"/>
      <w:spacing w:val="0"/>
      <w:w w:val="100"/>
      <w:position w:val="0"/>
      <w:sz w:val="21"/>
      <w:u w:val="none"/>
      <w:vertAlign w:val="baseline"/>
    </w:rPr>
  </w:style>
  <w:style w:type="character" w:styleId="35">
    <w:name w:val="footnote reference"/>
    <w:semiHidden/>
    <w:uiPriority w:val="0"/>
    <w:rPr>
      <w:rFonts w:ascii="宋体" w:hAnsi="宋体" w:eastAsia="宋体" w:cs="Times New Roman"/>
      <w:spacing w:val="0"/>
      <w:sz w:val="18"/>
      <w:vertAlign w:val="superscript"/>
    </w:rPr>
  </w:style>
  <w:style w:type="character" w:customStyle="1" w:styleId="36">
    <w:name w:val="标题 1 字符"/>
    <w:link w:val="2"/>
    <w:uiPriority w:val="0"/>
    <w:rPr>
      <w:rFonts w:ascii="Times New Roman" w:hAnsi="Times New Roman" w:eastAsia="宋体" w:cs="Times New Roman"/>
      <w:b/>
      <w:bCs/>
      <w:kern w:val="44"/>
      <w:sz w:val="44"/>
      <w:szCs w:val="44"/>
    </w:rPr>
  </w:style>
  <w:style w:type="character" w:customStyle="1" w:styleId="37">
    <w:name w:val="标题 2 字符"/>
    <w:link w:val="3"/>
    <w:uiPriority w:val="0"/>
    <w:rPr>
      <w:rFonts w:ascii="Arial" w:hAnsi="Arial" w:eastAsia="黑体" w:cs="Times New Roman"/>
      <w:b/>
      <w:bCs/>
      <w:sz w:val="32"/>
      <w:szCs w:val="32"/>
    </w:rPr>
  </w:style>
  <w:style w:type="character" w:customStyle="1" w:styleId="38">
    <w:name w:val="标题 3 字符"/>
    <w:link w:val="4"/>
    <w:uiPriority w:val="0"/>
    <w:rPr>
      <w:rFonts w:ascii="Times New Roman" w:hAnsi="Times New Roman" w:eastAsia="宋体" w:cs="Times New Roman"/>
      <w:b/>
      <w:bCs/>
      <w:sz w:val="32"/>
      <w:szCs w:val="32"/>
    </w:rPr>
  </w:style>
  <w:style w:type="character" w:customStyle="1" w:styleId="39">
    <w:name w:val="标题 4 字符"/>
    <w:link w:val="5"/>
    <w:uiPriority w:val="0"/>
    <w:rPr>
      <w:rFonts w:ascii="Arial" w:hAnsi="Arial" w:eastAsia="黑体" w:cs="Times New Roman"/>
      <w:b/>
      <w:bCs/>
      <w:sz w:val="28"/>
      <w:szCs w:val="28"/>
    </w:rPr>
  </w:style>
  <w:style w:type="character" w:customStyle="1" w:styleId="40">
    <w:name w:val="标题 5 字符"/>
    <w:link w:val="6"/>
    <w:uiPriority w:val="0"/>
    <w:rPr>
      <w:rFonts w:ascii="Times New Roman" w:hAnsi="Times New Roman" w:eastAsia="宋体" w:cs="Times New Roman"/>
      <w:b/>
      <w:bCs/>
      <w:sz w:val="28"/>
      <w:szCs w:val="28"/>
    </w:rPr>
  </w:style>
  <w:style w:type="character" w:customStyle="1" w:styleId="41">
    <w:name w:val="标题 6 字符"/>
    <w:link w:val="7"/>
    <w:uiPriority w:val="0"/>
    <w:rPr>
      <w:rFonts w:ascii="Arial" w:hAnsi="Arial" w:eastAsia="黑体" w:cs="Times New Roman"/>
      <w:b/>
      <w:bCs/>
      <w:sz w:val="24"/>
      <w:szCs w:val="24"/>
    </w:rPr>
  </w:style>
  <w:style w:type="character" w:customStyle="1" w:styleId="42">
    <w:name w:val="标题 7 字符"/>
    <w:link w:val="8"/>
    <w:uiPriority w:val="0"/>
    <w:rPr>
      <w:rFonts w:ascii="Times New Roman" w:hAnsi="Times New Roman" w:eastAsia="宋体" w:cs="Times New Roman"/>
      <w:b/>
      <w:bCs/>
      <w:sz w:val="24"/>
      <w:szCs w:val="24"/>
    </w:rPr>
  </w:style>
  <w:style w:type="character" w:customStyle="1" w:styleId="43">
    <w:name w:val="标题 8 字符"/>
    <w:link w:val="9"/>
    <w:uiPriority w:val="0"/>
    <w:rPr>
      <w:rFonts w:ascii="Arial" w:hAnsi="Arial" w:eastAsia="黑体" w:cs="Times New Roman"/>
      <w:sz w:val="24"/>
      <w:szCs w:val="24"/>
    </w:rPr>
  </w:style>
  <w:style w:type="character" w:customStyle="1" w:styleId="44">
    <w:name w:val="标题 9 字符"/>
    <w:link w:val="10"/>
    <w:qFormat/>
    <w:uiPriority w:val="0"/>
    <w:rPr>
      <w:rFonts w:ascii="Arial" w:hAnsi="Arial" w:eastAsia="黑体" w:cs="Times New Roman"/>
      <w:szCs w:val="21"/>
    </w:rPr>
  </w:style>
  <w:style w:type="character" w:customStyle="1" w:styleId="45">
    <w:name w:val="页眉 字符"/>
    <w:link w:val="18"/>
    <w:uiPriority w:val="99"/>
    <w:rPr>
      <w:rFonts w:ascii="Times New Roman" w:hAnsi="Times New Roman" w:eastAsia="宋体" w:cs="Times New Roman"/>
      <w:sz w:val="18"/>
      <w:szCs w:val="18"/>
    </w:rPr>
  </w:style>
  <w:style w:type="character" w:customStyle="1" w:styleId="46">
    <w:name w:val="页脚 字符"/>
    <w:link w:val="17"/>
    <w:uiPriority w:val="99"/>
    <w:rPr>
      <w:rFonts w:ascii="宋体" w:hAnsi="Times New Roman" w:eastAsia="宋体" w:cs="Times New Roman"/>
      <w:sz w:val="18"/>
      <w:szCs w:val="18"/>
    </w:rPr>
  </w:style>
  <w:style w:type="character" w:customStyle="1" w:styleId="47">
    <w:name w:val="批注框文本 字符"/>
    <w:link w:val="16"/>
    <w:semiHidden/>
    <w:uiPriority w:val="99"/>
    <w:rPr>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uiPriority w:val="29"/>
    <w:rPr>
      <w:i/>
      <w:iCs/>
      <w:color w:val="000000"/>
    </w:rPr>
  </w:style>
  <w:style w:type="character" w:customStyle="1" w:styleId="50">
    <w:name w:val="标题 字符"/>
    <w:link w:val="27"/>
    <w:uiPriority w:val="0"/>
    <w:rPr>
      <w:rFonts w:ascii="Arial" w:hAnsi="Arial" w:eastAsia="宋体" w:cs="Arial"/>
      <w:b/>
      <w:bCs/>
      <w:sz w:val="32"/>
      <w:szCs w:val="32"/>
    </w:rPr>
  </w:style>
  <w:style w:type="paragraph" w:customStyle="1" w:styleId="51">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uiPriority w:val="0"/>
    <w:pPr>
      <w:ind w:left="198"/>
    </w:pPr>
    <w:rPr>
      <w:rFonts w:ascii="宋体" w:hAnsi="Times New Roman" w:eastAsia="宋体" w:cs="Times New Roman"/>
      <w:sz w:val="18"/>
      <w:lang w:val="en-US" w:eastAsia="zh-CN" w:bidi="ar-SA"/>
    </w:rPr>
  </w:style>
  <w:style w:type="paragraph" w:customStyle="1" w:styleId="54">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5">
    <w:name w:val="标准书眉一"/>
    <w:uiPriority w:val="0"/>
    <w:pPr>
      <w:jc w:val="both"/>
    </w:pPr>
    <w:rPr>
      <w:rFonts w:ascii="Times New Roman" w:hAnsi="Times New Roman" w:eastAsia="宋体" w:cs="Times New Roman"/>
      <w:lang w:val="en-US" w:eastAsia="zh-CN" w:bidi="ar-SA"/>
    </w:rPr>
  </w:style>
  <w:style w:type="paragraph" w:customStyle="1" w:styleId="56">
    <w:name w:val="标准文件_ICS"/>
    <w:basedOn w:val="1"/>
    <w:uiPriority w:val="0"/>
    <w:pPr>
      <w:spacing w:line="0" w:lineRule="atLeast"/>
    </w:pPr>
    <w:rPr>
      <w:rFonts w:ascii="黑体" w:hAnsi="宋体" w:eastAsia="黑体"/>
    </w:rPr>
  </w:style>
  <w:style w:type="paragraph" w:customStyle="1" w:styleId="57">
    <w:name w:val="标准文件_标准正文"/>
    <w:basedOn w:val="1"/>
    <w:next w:val="58"/>
    <w:uiPriority w:val="0"/>
    <w:pPr>
      <w:snapToGrid w:val="0"/>
      <w:ind w:firstLine="200" w:firstLineChars="200"/>
    </w:pPr>
    <w:rPr>
      <w:kern w:val="0"/>
    </w:rPr>
  </w:style>
  <w:style w:type="paragraph" w:customStyle="1" w:styleId="58">
    <w:name w:val="标准文件_段"/>
    <w:link w:val="186"/>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uiPriority w:val="0"/>
    <w:pPr>
      <w:adjustRightInd/>
      <w:snapToGrid/>
      <w:ind w:firstLine="0" w:firstLineChars="0"/>
    </w:pPr>
    <w:rPr>
      <w:rFonts w:ascii="宋体" w:hAnsi="宋体"/>
      <w:kern w:val="2"/>
    </w:rPr>
  </w:style>
  <w:style w:type="paragraph" w:customStyle="1" w:styleId="60">
    <w:name w:val="标准文件_标准部门"/>
    <w:basedOn w:val="1"/>
    <w:uiPriority w:val="0"/>
    <w:pPr>
      <w:jc w:val="center"/>
    </w:pPr>
    <w:rPr>
      <w:rFonts w:ascii="黑体" w:eastAsia="黑体"/>
      <w:kern w:val="0"/>
      <w:sz w:val="44"/>
    </w:rPr>
  </w:style>
  <w:style w:type="paragraph" w:customStyle="1" w:styleId="61">
    <w:name w:val="标准文件_标准代替"/>
    <w:basedOn w:val="1"/>
    <w:next w:val="1"/>
    <w:uiPriority w:val="0"/>
    <w:pPr>
      <w:spacing w:line="310" w:lineRule="exact"/>
      <w:jc w:val="right"/>
    </w:pPr>
    <w:rPr>
      <w:rFonts w:ascii="宋体" w:hAnsi="宋体"/>
      <w:kern w:val="0"/>
    </w:rPr>
  </w:style>
  <w:style w:type="paragraph" w:customStyle="1" w:styleId="62">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uiPriority w:val="0"/>
    <w:pPr>
      <w:jc w:val="left"/>
    </w:pPr>
  </w:style>
  <w:style w:type="paragraph" w:customStyle="1" w:styleId="65">
    <w:name w:val="标准文件_参考文献标题"/>
    <w:basedOn w:val="1"/>
    <w:next w:val="1"/>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6">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uiPriority w:val="0"/>
    <w:rPr>
      <w:rFonts w:ascii="黑体" w:eastAsia="黑体"/>
      <w:spacing w:val="0"/>
      <w:w w:val="100"/>
      <w:position w:val="3"/>
      <w:sz w:val="28"/>
    </w:rPr>
  </w:style>
  <w:style w:type="paragraph" w:customStyle="1" w:styleId="69">
    <w:name w:val="标准文件_方框数字列项"/>
    <w:basedOn w:val="58"/>
    <w:uiPriority w:val="0"/>
    <w:pPr>
      <w:numPr>
        <w:ilvl w:val="0"/>
        <w:numId w:val="3"/>
      </w:numPr>
      <w:ind w:firstLine="0" w:firstLineChars="0"/>
    </w:pPr>
  </w:style>
  <w:style w:type="paragraph" w:customStyle="1" w:styleId="70">
    <w:name w:val="标准文件_封面标准编号"/>
    <w:basedOn w:val="1"/>
    <w:next w:val="61"/>
    <w:uiPriority w:val="0"/>
    <w:pPr>
      <w:spacing w:line="310" w:lineRule="exact"/>
      <w:jc w:val="right"/>
    </w:pPr>
    <w:rPr>
      <w:rFonts w:ascii="黑体" w:eastAsia="黑体"/>
      <w:kern w:val="0"/>
      <w:sz w:val="28"/>
    </w:rPr>
  </w:style>
  <w:style w:type="paragraph" w:customStyle="1" w:styleId="71">
    <w:name w:val="标准文件_封面标准分类号"/>
    <w:basedOn w:val="1"/>
    <w:uiPriority w:val="0"/>
    <w:rPr>
      <w:rFonts w:ascii="黑体" w:eastAsia="黑体"/>
      <w:b/>
      <w:kern w:val="0"/>
      <w:sz w:val="28"/>
    </w:rPr>
  </w:style>
  <w:style w:type="paragraph" w:customStyle="1" w:styleId="72">
    <w:name w:val="标准文件_封面标准名称"/>
    <w:basedOn w:val="1"/>
    <w:uiPriority w:val="0"/>
    <w:pPr>
      <w:spacing w:line="240" w:lineRule="auto"/>
      <w:jc w:val="center"/>
    </w:pPr>
    <w:rPr>
      <w:rFonts w:ascii="黑体" w:eastAsia="黑体"/>
      <w:kern w:val="0"/>
      <w:sz w:val="52"/>
    </w:rPr>
  </w:style>
  <w:style w:type="paragraph" w:customStyle="1" w:styleId="73">
    <w:name w:val="标准文件_封面标准英文名称"/>
    <w:basedOn w:val="1"/>
    <w:uiPriority w:val="0"/>
    <w:pPr>
      <w:spacing w:line="240" w:lineRule="auto"/>
      <w:jc w:val="center"/>
    </w:pPr>
    <w:rPr>
      <w:rFonts w:ascii="黑体" w:eastAsia="黑体"/>
      <w:b/>
      <w:sz w:val="28"/>
    </w:rPr>
  </w:style>
  <w:style w:type="paragraph" w:customStyle="1" w:styleId="74">
    <w:name w:val="标准文件_封面发布日期"/>
    <w:basedOn w:val="1"/>
    <w:uiPriority w:val="0"/>
    <w:pPr>
      <w:spacing w:line="310" w:lineRule="exact"/>
    </w:pPr>
    <w:rPr>
      <w:rFonts w:ascii="黑体" w:eastAsia="黑体"/>
      <w:kern w:val="0"/>
      <w:sz w:val="28"/>
    </w:rPr>
  </w:style>
  <w:style w:type="paragraph" w:customStyle="1" w:styleId="75">
    <w:name w:val="标准文件_封面密级"/>
    <w:basedOn w:val="1"/>
    <w:uiPriority w:val="0"/>
    <w:rPr>
      <w:rFonts w:eastAsia="黑体"/>
      <w:sz w:val="32"/>
    </w:rPr>
  </w:style>
  <w:style w:type="paragraph" w:customStyle="1" w:styleId="76">
    <w:name w:val="标准文件_封面实施日期"/>
    <w:basedOn w:val="1"/>
    <w:uiPriority w:val="0"/>
    <w:pPr>
      <w:spacing w:line="310" w:lineRule="exact"/>
      <w:jc w:val="right"/>
    </w:pPr>
    <w:rPr>
      <w:rFonts w:ascii="黑体" w:eastAsia="黑体"/>
      <w:sz w:val="28"/>
    </w:rPr>
  </w:style>
  <w:style w:type="paragraph" w:customStyle="1" w:styleId="77">
    <w:name w:val="标准文件_封面抬头"/>
    <w:basedOn w:val="58"/>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6">
    <w:name w:val="标准文件_附录五级条标题"/>
    <w:next w:val="58"/>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3"/>
    <w:uiPriority w:val="0"/>
    <w:rPr>
      <w:rFonts w:ascii="Times New Roman" w:hAnsi="Times New Roman" w:eastAsia="宋体" w:cs="Times New Roman"/>
      <w:szCs w:val="20"/>
    </w:rPr>
  </w:style>
  <w:style w:type="paragraph" w:customStyle="1" w:styleId="89">
    <w:name w:val="标准文件_附录章标题"/>
    <w:next w:val="58"/>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uiPriority w:val="0"/>
    <w:pPr>
      <w:ind w:left="488" w:leftChars="200" w:hanging="289" w:hangingChars="290"/>
    </w:pPr>
  </w:style>
  <w:style w:type="paragraph" w:customStyle="1" w:styleId="91">
    <w:name w:val="标准文件_前言、引言标题"/>
    <w:next w:val="1"/>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uiPriority w:val="0"/>
    <w:pPr>
      <w:spacing w:line="460" w:lineRule="exact"/>
    </w:pPr>
  </w:style>
  <w:style w:type="paragraph" w:customStyle="1" w:styleId="93">
    <w:name w:val="标准文件_目录标题"/>
    <w:basedOn w:val="1"/>
    <w:uiPriority w:val="0"/>
    <w:pPr>
      <w:spacing w:after="150" w:afterLines="150" w:line="240" w:lineRule="auto"/>
      <w:jc w:val="center"/>
    </w:pPr>
    <w:rPr>
      <w:rFonts w:ascii="黑体" w:eastAsia="黑体"/>
      <w:sz w:val="32"/>
    </w:rPr>
  </w:style>
  <w:style w:type="paragraph" w:customStyle="1" w:styleId="94">
    <w:name w:val="标准文件_破折号列项"/>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uiPriority w:val="0"/>
    <w:pPr>
      <w:numPr>
        <w:numId w:val="10"/>
      </w:numPr>
      <w:ind w:left="0" w:firstLine="200"/>
    </w:pPr>
  </w:style>
  <w:style w:type="paragraph" w:customStyle="1" w:styleId="96">
    <w:name w:val="标准文件_三级条标题"/>
    <w:basedOn w:val="67"/>
    <w:next w:val="58"/>
    <w:uiPriority w:val="0"/>
    <w:pPr>
      <w:widowControl/>
      <w:numPr>
        <w:ilvl w:val="4"/>
      </w:numPr>
      <w:outlineLvl w:val="3"/>
    </w:pPr>
  </w:style>
  <w:style w:type="character" w:customStyle="1" w:styleId="97">
    <w:name w:val="Subtle Reference"/>
    <w:qFormat/>
    <w:uiPriority w:val="31"/>
    <w:rPr>
      <w:smallCaps/>
      <w:color w:val="C0504D"/>
      <w:u w:val="single"/>
    </w:rPr>
  </w:style>
  <w:style w:type="paragraph" w:customStyle="1" w:styleId="98">
    <w:name w:val="标准文件_示例后续"/>
    <w:basedOn w:val="1"/>
    <w:uiPriority w:val="0"/>
    <w:pPr>
      <w:adjustRightInd/>
      <w:spacing w:line="240" w:lineRule="auto"/>
      <w:ind w:firstLine="200" w:firstLineChars="200"/>
    </w:pPr>
    <w:rPr>
      <w:sz w:val="18"/>
      <w:szCs w:val="24"/>
    </w:rPr>
  </w:style>
  <w:style w:type="paragraph" w:customStyle="1" w:styleId="99">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3"/>
    <w:semiHidden/>
    <w:uiPriority w:val="0"/>
    <w:rPr>
      <w:rFonts w:ascii="宋体" w:hAnsi="Times New Roman" w:eastAsia="宋体" w:cs="Times New Roman"/>
      <w:sz w:val="18"/>
      <w:szCs w:val="18"/>
    </w:rPr>
  </w:style>
  <w:style w:type="paragraph" w:customStyle="1" w:styleId="102">
    <w:name w:val="标准文件_条文脚注"/>
    <w:basedOn w:val="23"/>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uiPriority w:val="0"/>
    <w:pPr>
      <w:numPr>
        <w:ilvl w:val="0"/>
        <w:numId w:val="12"/>
      </w:numPr>
      <w:spacing w:line="240" w:lineRule="auto"/>
      <w:jc w:val="left"/>
    </w:pPr>
    <w:rPr>
      <w:rFonts w:ascii="宋体" w:hAnsi="宋体"/>
      <w:sz w:val="18"/>
    </w:rPr>
  </w:style>
  <w:style w:type="character" w:customStyle="1" w:styleId="104">
    <w:name w:val="标准文件_图表脚注内容"/>
    <w:uiPriority w:val="0"/>
    <w:rPr>
      <w:rFonts w:ascii="宋体" w:hAnsi="宋体" w:eastAsia="宋体" w:cs="Times New Roman"/>
      <w:spacing w:val="0"/>
      <w:sz w:val="18"/>
      <w:vertAlign w:val="superscript"/>
    </w:rPr>
  </w:style>
  <w:style w:type="paragraph" w:customStyle="1" w:styleId="105">
    <w:name w:val="标准文件_五级条标题"/>
    <w:next w:val="58"/>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uiPriority w:val="0"/>
    <w:pPr>
      <w:numPr>
        <w:ilvl w:val="2"/>
      </w:numPr>
      <w:spacing w:before="50" w:beforeLines="50" w:after="50" w:afterLines="50"/>
      <w:outlineLvl w:val="1"/>
    </w:pPr>
  </w:style>
  <w:style w:type="paragraph" w:customStyle="1" w:styleId="108">
    <w:name w:val="标准文件_一致程度"/>
    <w:basedOn w:val="1"/>
    <w:uiPriority w:val="0"/>
    <w:pPr>
      <w:spacing w:line="440" w:lineRule="exact"/>
      <w:jc w:val="center"/>
    </w:pPr>
    <w:rPr>
      <w:sz w:val="28"/>
    </w:rPr>
  </w:style>
  <w:style w:type="paragraph" w:customStyle="1" w:styleId="109">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uiPriority w:val="0"/>
    <w:pPr>
      <w:numPr>
        <w:ilvl w:val="3"/>
        <w:numId w:val="20"/>
      </w:numPr>
      <w:adjustRightInd/>
      <w:spacing w:line="240" w:lineRule="auto"/>
    </w:pPr>
    <w:rPr>
      <w:rFonts w:ascii="宋体" w:hAnsi="宋体"/>
      <w:szCs w:val="24"/>
    </w:rPr>
  </w:style>
  <w:style w:type="paragraph" w:customStyle="1" w:styleId="121">
    <w:name w:val="发布部门"/>
    <w:next w:val="58"/>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uiPriority w:val="0"/>
    <w:pPr>
      <w:outlineLvl w:val="4"/>
    </w:pPr>
  </w:style>
  <w:style w:type="paragraph" w:customStyle="1" w:styleId="132">
    <w:name w:val="附录四级无标题条"/>
    <w:basedOn w:val="131"/>
    <w:next w:val="58"/>
    <w:uiPriority w:val="0"/>
    <w:pPr>
      <w:outlineLvl w:val="5"/>
    </w:pPr>
  </w:style>
  <w:style w:type="paragraph" w:customStyle="1" w:styleId="133">
    <w:name w:val="附录图"/>
    <w:next w:val="58"/>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uiPriority w:val="0"/>
    <w:pPr>
      <w:outlineLvl w:val="6"/>
    </w:pPr>
  </w:style>
  <w:style w:type="paragraph" w:customStyle="1" w:styleId="136">
    <w:name w:val="附录性质"/>
    <w:basedOn w:val="1"/>
    <w:uiPriority w:val="0"/>
    <w:pPr>
      <w:widowControl/>
      <w:adjustRightInd/>
      <w:jc w:val="center"/>
    </w:pPr>
    <w:rPr>
      <w:rFonts w:ascii="黑体" w:eastAsia="黑体"/>
    </w:rPr>
  </w:style>
  <w:style w:type="paragraph" w:customStyle="1" w:styleId="137">
    <w:name w:val="附录一级无标题条"/>
    <w:basedOn w:val="89"/>
    <w:next w:val="58"/>
    <w:uiPriority w:val="0"/>
    <w:pPr>
      <w:autoSpaceDN w:val="0"/>
      <w:outlineLvl w:val="2"/>
    </w:pPr>
    <w:rPr>
      <w:rFonts w:ascii="宋体" w:hAnsi="宋体" w:eastAsia="宋体"/>
    </w:rPr>
  </w:style>
  <w:style w:type="character" w:customStyle="1" w:styleId="138">
    <w:name w:val="个人答复风格"/>
    <w:uiPriority w:val="0"/>
    <w:rPr>
      <w:rFonts w:ascii="Arial" w:hAnsi="Arial" w:eastAsia="宋体" w:cs="Arial"/>
      <w:color w:val="auto"/>
      <w:spacing w:val="0"/>
      <w:sz w:val="20"/>
    </w:rPr>
  </w:style>
  <w:style w:type="character" w:customStyle="1" w:styleId="139">
    <w:name w:val="个人撰写风格"/>
    <w:uiPriority w:val="0"/>
    <w:rPr>
      <w:rFonts w:ascii="Arial" w:hAnsi="Arial" w:eastAsia="宋体" w:cs="Arial"/>
      <w:color w:val="auto"/>
      <w:spacing w:val="0"/>
      <w:sz w:val="20"/>
    </w:rPr>
  </w:style>
  <w:style w:type="paragraph" w:customStyle="1" w:styleId="140">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uiPriority w:val="0"/>
    <w:pPr>
      <w:tabs>
        <w:tab w:val="left" w:pos="840"/>
      </w:tabs>
    </w:pPr>
  </w:style>
  <w:style w:type="paragraph" w:customStyle="1" w:styleId="143">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uiPriority w:val="0"/>
    <w:pPr>
      <w:adjustRightInd/>
      <w:spacing w:line="240" w:lineRule="auto"/>
      <w:jc w:val="left"/>
    </w:pPr>
    <w:rPr>
      <w:bCs/>
      <w:iCs/>
    </w:rPr>
  </w:style>
  <w:style w:type="paragraph" w:customStyle="1" w:styleId="145">
    <w:name w:val="目录 31"/>
    <w:basedOn w:val="1"/>
    <w:next w:val="1"/>
    <w:semiHidden/>
    <w:uiPriority w:val="0"/>
    <w:pPr>
      <w:spacing w:line="240" w:lineRule="auto"/>
    </w:pPr>
    <w:rPr>
      <w:rFonts w:ascii="宋体" w:hAnsi="宋体"/>
      <w:iCs/>
    </w:rPr>
  </w:style>
  <w:style w:type="paragraph" w:customStyle="1" w:styleId="146">
    <w:name w:val="目录 41"/>
    <w:basedOn w:val="1"/>
    <w:next w:val="1"/>
    <w:semiHidden/>
    <w:uiPriority w:val="0"/>
    <w:pPr>
      <w:adjustRightInd/>
      <w:spacing w:line="240" w:lineRule="auto"/>
      <w:jc w:val="left"/>
    </w:pPr>
  </w:style>
  <w:style w:type="paragraph" w:customStyle="1" w:styleId="147">
    <w:name w:val="目录 51"/>
    <w:basedOn w:val="1"/>
    <w:next w:val="1"/>
    <w:semiHidden/>
    <w:uiPriority w:val="0"/>
    <w:pPr>
      <w:spacing w:line="240" w:lineRule="auto"/>
    </w:pPr>
    <w:rPr>
      <w:rFonts w:ascii="宋体" w:hAnsi="宋体"/>
    </w:rPr>
  </w:style>
  <w:style w:type="paragraph" w:customStyle="1" w:styleId="148">
    <w:name w:val="目录 61"/>
    <w:basedOn w:val="1"/>
    <w:next w:val="1"/>
    <w:semiHidden/>
    <w:uiPriority w:val="0"/>
    <w:pPr>
      <w:adjustRightInd/>
      <w:spacing w:line="240" w:lineRule="auto"/>
      <w:jc w:val="left"/>
    </w:pPr>
  </w:style>
  <w:style w:type="paragraph" w:customStyle="1" w:styleId="149">
    <w:name w:val="目录 71"/>
    <w:basedOn w:val="148"/>
    <w:semiHidden/>
    <w:uiPriority w:val="0"/>
    <w:pPr>
      <w:ind w:left="1260"/>
    </w:pPr>
  </w:style>
  <w:style w:type="paragraph" w:customStyle="1" w:styleId="150">
    <w:name w:val="目录 81"/>
    <w:basedOn w:val="149"/>
    <w:semiHidden/>
    <w:uiPriority w:val="0"/>
    <w:pPr>
      <w:ind w:left="1470"/>
    </w:pPr>
  </w:style>
  <w:style w:type="paragraph" w:customStyle="1" w:styleId="151">
    <w:name w:val="目录 91"/>
    <w:basedOn w:val="150"/>
    <w:semiHidden/>
    <w:uiPriority w:val="0"/>
    <w:pPr>
      <w:ind w:left="1680"/>
    </w:pPr>
  </w:style>
  <w:style w:type="paragraph" w:customStyle="1" w:styleId="152">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uiPriority w:val="0"/>
    <w:pPr>
      <w:framePr w:wrap="around"/>
      <w:spacing w:line="0" w:lineRule="atLeast"/>
    </w:pPr>
    <w:rPr>
      <w:rFonts w:ascii="黑体" w:eastAsia="黑体"/>
      <w:b w:val="0"/>
    </w:rPr>
  </w:style>
  <w:style w:type="paragraph" w:customStyle="1" w:styleId="154">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uiPriority w:val="0"/>
    <w:pPr>
      <w:numPr>
        <w:ilvl w:val="4"/>
        <w:numId w:val="20"/>
      </w:numPr>
      <w:adjustRightInd/>
      <w:spacing w:line="240" w:lineRule="auto"/>
    </w:pPr>
    <w:rPr>
      <w:rFonts w:ascii="宋体" w:hAnsi="宋体"/>
      <w:szCs w:val="24"/>
    </w:rPr>
  </w:style>
  <w:style w:type="paragraph" w:customStyle="1" w:styleId="156">
    <w:name w:val="实施日期"/>
    <w:basedOn w:val="122"/>
    <w:uiPriority w:val="0"/>
    <w:pPr>
      <w:framePr w:hSpace="0" w:wrap="around" w:xAlign="right"/>
      <w:jc w:val="right"/>
    </w:pPr>
  </w:style>
  <w:style w:type="paragraph" w:customStyle="1" w:styleId="157">
    <w:name w:val="四级无标题条"/>
    <w:basedOn w:val="1"/>
    <w:uiPriority w:val="0"/>
    <w:pPr>
      <w:numPr>
        <w:ilvl w:val="5"/>
        <w:numId w:val="20"/>
      </w:numPr>
      <w:adjustRightInd/>
      <w:spacing w:line="240" w:lineRule="auto"/>
    </w:pPr>
    <w:rPr>
      <w:rFonts w:ascii="宋体" w:hAnsi="宋体"/>
      <w:szCs w:val="24"/>
    </w:rPr>
  </w:style>
  <w:style w:type="paragraph" w:customStyle="1" w:styleId="158">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uiPriority w:val="0"/>
    <w:pPr>
      <w:jc w:val="both"/>
    </w:pPr>
    <w:rPr>
      <w:rFonts w:ascii="宋体" w:hAnsi="宋体" w:eastAsia="宋体" w:cs="Times New Roman"/>
      <w:sz w:val="21"/>
      <w:lang w:val="en-US" w:eastAsia="zh-CN" w:bidi="ar-SA"/>
    </w:rPr>
  </w:style>
  <w:style w:type="paragraph" w:customStyle="1" w:styleId="160">
    <w:name w:val="五级无标题条"/>
    <w:basedOn w:val="1"/>
    <w:uiPriority w:val="0"/>
    <w:pPr>
      <w:numPr>
        <w:ilvl w:val="6"/>
        <w:numId w:val="20"/>
      </w:numPr>
      <w:adjustRightInd/>
    </w:pPr>
    <w:rPr>
      <w:szCs w:val="24"/>
    </w:rPr>
  </w:style>
  <w:style w:type="paragraph" w:customStyle="1" w:styleId="161">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2">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ind w:left="783"/>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30"/>
    <w:semiHidden/>
    <w:uiPriority w:val="99"/>
    <w:rPr>
      <w:color w:val="808080"/>
    </w:rPr>
  </w:style>
  <w:style w:type="paragraph" w:customStyle="1" w:styleId="189">
    <w:name w:val="标准文件_二级项2"/>
    <w:basedOn w:val="58"/>
    <w:qFormat/>
    <w:uiPriority w:val="0"/>
    <w:pPr>
      <w:numPr>
        <w:ilvl w:val="1"/>
        <w:numId w:val="21"/>
      </w:numPr>
      <w:ind w:left="1271" w:hanging="420" w:firstLineChars="0"/>
    </w:pPr>
  </w:style>
  <w:style w:type="paragraph" w:customStyle="1" w:styleId="190">
    <w:name w:val="标准文件_三级项2"/>
    <w:basedOn w:val="58"/>
    <w:qFormat/>
    <w:uiPriority w:val="0"/>
    <w:pPr>
      <w:numPr>
        <w:ilvl w:val="0"/>
        <w:numId w:val="30"/>
      </w:numPr>
      <w:spacing w:line="300" w:lineRule="exact"/>
      <w:ind w:left="1276" w:hanging="425" w:firstLineChars="0"/>
    </w:pPr>
    <w:rPr>
      <w:rFonts w:ascii="Times New Roman"/>
    </w:rPr>
  </w:style>
  <w:style w:type="paragraph" w:customStyle="1" w:styleId="191">
    <w:name w:val="标准文件_一级项2"/>
    <w:basedOn w:val="58"/>
    <w:qFormat/>
    <w:uiPriority w:val="0"/>
    <w:pPr>
      <w:numPr>
        <w:ilvl w:val="0"/>
        <w:numId w:val="31"/>
      </w:numPr>
      <w:spacing w:line="300" w:lineRule="exact"/>
      <w:ind w:left="1271" w:hanging="420"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30"/>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uiPriority w:val="0"/>
    <w:pPr>
      <w:framePr w:w="3997" w:h="471" w:hRule="exact" w:hSpace="0" w:vSpace="181" w:wrap="around" w:vAnchor="page" w:hAnchor="page" w:x="1419" w:y="14097"/>
    </w:pPr>
  </w:style>
  <w:style w:type="paragraph" w:customStyle="1" w:styleId="196">
    <w:name w:val="其他实施日期"/>
    <w:basedOn w:val="156"/>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frame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next w:val="58"/>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30"/>
    <w:qFormat/>
    <w:uiPriority w:val="0"/>
    <w:rPr>
      <w:rFonts w:ascii="黑体" w:eastAsia="黑体"/>
      <w:spacing w:val="85"/>
      <w:w w:val="100"/>
      <w:position w:val="3"/>
      <w:sz w:val="28"/>
      <w:szCs w:val="28"/>
    </w:rPr>
  </w:style>
  <w:style w:type="paragraph" w:customStyle="1" w:styleId="232">
    <w:name w:val="一级条标题"/>
    <w:next w:val="1"/>
    <w:uiPriority w:val="0"/>
    <w:pPr>
      <w:numPr>
        <w:ilvl w:val="1"/>
        <w:numId w:val="3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33">
    <w:name w:val="三级无"/>
    <w:basedOn w:val="1"/>
    <w:uiPriority w:val="0"/>
    <w:pPr>
      <w:widowControl/>
      <w:adjustRightInd/>
      <w:spacing w:line="240" w:lineRule="auto"/>
      <w:jc w:val="left"/>
      <w:outlineLvl w:val="4"/>
    </w:pPr>
    <w:rPr>
      <w:rFonts w:ascii="宋体" w:hAnsi="Times New Roman"/>
      <w:kern w:val="0"/>
    </w:rPr>
  </w:style>
  <w:style w:type="paragraph" w:customStyle="1" w:styleId="234">
    <w:name w:val="列项——（一级）"/>
    <w:uiPriority w:val="0"/>
    <w:pPr>
      <w:widowControl w:val="0"/>
      <w:ind w:left="4662" w:hanging="408"/>
      <w:jc w:val="both"/>
    </w:pPr>
    <w:rPr>
      <w:rFonts w:ascii="宋体" w:hAnsi="Times New Roman" w:eastAsia="宋体" w:cs="Times New Roman"/>
      <w:sz w:val="21"/>
      <w:lang w:val="en-US" w:eastAsia="zh-CN" w:bidi="ar-SA"/>
    </w:rPr>
  </w:style>
  <w:style w:type="character" w:customStyle="1" w:styleId="235">
    <w:name w:val="段 Char"/>
    <w:link w:val="236"/>
    <w:uiPriority w:val="0"/>
    <w:rPr>
      <w:rFonts w:ascii="宋体"/>
      <w:sz w:val="21"/>
    </w:rPr>
  </w:style>
  <w:style w:type="paragraph" w:customStyle="1" w:styleId="236">
    <w:name w:val="段"/>
    <w:link w:val="235"/>
    <w:uiPriority w:val="0"/>
    <w:pPr>
      <w:tabs>
        <w:tab w:val="center" w:pos="4201"/>
        <w:tab w:val="right" w:leader="dot" w:pos="9298"/>
      </w:tabs>
      <w:autoSpaceDE w:val="0"/>
      <w:autoSpaceDN w:val="0"/>
      <w:ind w:firstLine="420" w:firstLineChars="200"/>
      <w:jc w:val="both"/>
    </w:pPr>
    <w:rPr>
      <w:rFonts w:ascii="宋体" w:hAnsi="Calibri"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3.jpeg"/><Relationship Id="rId14" Type="http://schemas.openxmlformats.org/officeDocument/2006/relationships/image" Target="media/image2.pn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9BE5348AC9446C794DC0649D7F69BC2"/>
        <w:style w:val=""/>
        <w:category>
          <w:name w:val="常规"/>
          <w:gallery w:val="placeholder"/>
        </w:category>
        <w:types>
          <w:type w:val="bbPlcHdr"/>
        </w:types>
        <w:behaviors>
          <w:behavior w:val="content"/>
        </w:behaviors>
        <w:description w:val=""/>
        <w:guid w:val="{0CD86199-9E07-4700-8785-1E65275FA19D}"/>
      </w:docPartPr>
      <w:docPartBody>
        <w:p>
          <w:pPr>
            <w:pStyle w:val="5"/>
          </w:pPr>
          <w:r>
            <w:rPr>
              <w:rStyle w:val="4"/>
              <w:rFonts w:hint="eastAsia"/>
            </w:rPr>
            <w:t>单击或点击此处输入文字。</w:t>
          </w:r>
        </w:p>
      </w:docPartBody>
    </w:docPart>
    <w:docPart>
      <w:docPartPr>
        <w:name w:val="6921739EA2414F5A8053D3210E839909"/>
        <w:style w:val=""/>
        <w:category>
          <w:name w:val="常规"/>
          <w:gallery w:val="placeholder"/>
        </w:category>
        <w:types>
          <w:type w:val="bbPlcHdr"/>
        </w:types>
        <w:behaviors>
          <w:behavior w:val="content"/>
        </w:behaviors>
        <w:description w:val=""/>
        <w:guid w:val="{72E16C47-125D-463A-A8A9-185AA251EBE3}"/>
      </w:docPartPr>
      <w:docPartBody>
        <w:p>
          <w:pPr>
            <w:pStyle w:val="6"/>
          </w:pPr>
          <w:r>
            <w:rPr>
              <w:rStyle w:val="4"/>
              <w:rFonts w:hint="eastAsia"/>
            </w:rPr>
            <w:t>选择一项。</w:t>
          </w:r>
        </w:p>
      </w:docPartBody>
    </w:docPart>
    <w:docPart>
      <w:docPartPr>
        <w:name w:val="EBE86C39742C424EB1AFC02B33739880"/>
        <w:style w:val=""/>
        <w:category>
          <w:name w:val="常规"/>
          <w:gallery w:val="placeholder"/>
        </w:category>
        <w:types>
          <w:type w:val="bbPlcHdr"/>
        </w:types>
        <w:behaviors>
          <w:behavior w:val="content"/>
        </w:behaviors>
        <w:description w:val=""/>
        <w:guid w:val="{6F9A425F-B39D-4DE7-BB87-32A573D25164}"/>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D4D"/>
    <w:rsid w:val="0000622E"/>
    <w:rsid w:val="00211E8B"/>
    <w:rsid w:val="00423EA4"/>
    <w:rsid w:val="005F1D4D"/>
    <w:rsid w:val="00A11C85"/>
    <w:rsid w:val="00A30C64"/>
    <w:rsid w:val="00A40EBA"/>
    <w:rsid w:val="00B22548"/>
    <w:rsid w:val="00B46277"/>
    <w:rsid w:val="00E62559"/>
    <w:rsid w:val="00EA15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E9BE5348AC9446C794DC0649D7F69BC2"/>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6921739EA2414F5A8053D3210E83990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EBE86C39742C424EB1AFC02B33739880"/>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5A4727-344A-4780-BD49-99DFF23CE747}">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9</Pages>
  <Words>943</Words>
  <Characters>5380</Characters>
  <Lines>44</Lines>
  <Paragraphs>12</Paragraphs>
  <TotalTime>454</TotalTime>
  <ScaleCrop>false</ScaleCrop>
  <LinksUpToDate>false</LinksUpToDate>
  <CharactersWithSpaces>6311</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2021-04-16T08:53:00Z</dcterms:created>
  <dc:creator>Windows 用户</dc:creator>
  <dc:description>&lt;config cover="true" show_menu="true" version="1.0.0" doctype="SDKXY"&gt;_x000d_
&lt;/config&gt;</dc:description>
  <cp:lastModifiedBy>Administrator</cp:lastModifiedBy>
  <cp:lastPrinted>2021-05-06T07:43:00Z</cp:lastPrinted>
  <dcterms:modified xsi:type="dcterms:W3CDTF">2021-05-11T01:47:38Z</dcterms:modified>
  <dc:title>团体标准</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2052-11.1.0.10495</vt:lpwstr>
  </property>
  <property fmtid="{D5CDD505-2E9C-101B-9397-08002B2CF9AE}" pid="15" name="ICV">
    <vt:lpwstr>5ED68E1A3DE0421F918B7BC24E00B5AA</vt:lpwstr>
  </property>
</Properties>
</file>